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89ABA">
      <w:pPr>
        <w:spacing w:line="276" w:lineRule="auto"/>
        <w:ind w:right="-857" w:rightChars="-408"/>
        <w:jc w:val="right"/>
        <w:rPr>
          <w:rFonts w:ascii="Cambria" w:hAnsi="Cambria"/>
          <w:spacing w:val="20"/>
          <w:w w:val="200"/>
          <w:sz w:val="15"/>
          <w:szCs w:val="15"/>
        </w:rPr>
      </w:pPr>
    </w:p>
    <w:p w14:paraId="4B04BBAB">
      <w:pPr>
        <w:spacing w:line="276" w:lineRule="auto"/>
        <w:jc w:val="right"/>
        <w:rPr>
          <w:rFonts w:ascii="Cambria" w:hAnsi="Cambria"/>
          <w:spacing w:val="20"/>
          <w:w w:val="200"/>
          <w:sz w:val="15"/>
          <w:szCs w:val="15"/>
        </w:rPr>
      </w:pPr>
    </w:p>
    <w:p w14:paraId="0FA070C2">
      <w:pPr>
        <w:spacing w:line="276" w:lineRule="auto"/>
        <w:jc w:val="right"/>
        <w:rPr>
          <w:rFonts w:ascii="Cambria" w:hAnsi="Cambria"/>
          <w:spacing w:val="20"/>
          <w:w w:val="200"/>
          <w:sz w:val="15"/>
          <w:szCs w:val="15"/>
        </w:rPr>
      </w:pPr>
    </w:p>
    <w:tbl>
      <w:tblPr>
        <w:tblStyle w:val="14"/>
        <w:tblW w:w="10924" w:type="dxa"/>
        <w:jc w:val="center"/>
        <w:tblLayout w:type="fixed"/>
        <w:tblCellMar>
          <w:top w:w="0" w:type="dxa"/>
          <w:left w:w="108" w:type="dxa"/>
          <w:bottom w:w="0" w:type="dxa"/>
          <w:right w:w="108" w:type="dxa"/>
        </w:tblCellMar>
      </w:tblPr>
      <w:tblGrid>
        <w:gridCol w:w="1730"/>
        <w:gridCol w:w="2663"/>
        <w:gridCol w:w="6531"/>
      </w:tblGrid>
      <w:tr w14:paraId="479C77E9">
        <w:tblPrEx>
          <w:tblCellMar>
            <w:top w:w="0" w:type="dxa"/>
            <w:left w:w="108" w:type="dxa"/>
            <w:bottom w:w="0" w:type="dxa"/>
            <w:right w:w="108" w:type="dxa"/>
          </w:tblCellMar>
        </w:tblPrEx>
        <w:trPr>
          <w:trHeight w:val="1050" w:hRule="atLeast"/>
          <w:jc w:val="center"/>
        </w:trPr>
        <w:tc>
          <w:tcPr>
            <w:tcW w:w="4393" w:type="dxa"/>
            <w:gridSpan w:val="2"/>
          </w:tcPr>
          <w:p w14:paraId="19126998">
            <w:pPr>
              <w:tabs>
                <w:tab w:val="left" w:pos="6420"/>
              </w:tabs>
              <w:spacing w:before="48" w:beforeLines="20" w:line="276" w:lineRule="auto"/>
              <w:ind w:right="600"/>
              <w:rPr>
                <w:rFonts w:ascii="Cambria" w:hAnsi="Cambria" w:eastAsia="黑体"/>
                <w:bCs/>
                <w:color w:val="0C1F0E"/>
                <w:sz w:val="24"/>
                <w:szCs w:val="24"/>
              </w:rPr>
            </w:pPr>
            <w:r>
              <w:rPr>
                <w:rFonts w:ascii="Cambria" w:hAnsi="Cambria" w:eastAsia="黑体"/>
                <w:bCs/>
                <w:color w:val="0C1F0E"/>
                <w:sz w:val="24"/>
                <w:szCs w:val="24"/>
              </w:rPr>
              <w:t>ICS **.***</w:t>
            </w:r>
          </w:p>
          <w:p w14:paraId="726998A6">
            <w:pPr>
              <w:tabs>
                <w:tab w:val="left" w:pos="6420"/>
              </w:tabs>
              <w:wordWrap w:val="0"/>
              <w:spacing w:before="48" w:beforeLines="20" w:line="276" w:lineRule="auto"/>
              <w:ind w:right="600"/>
              <w:rPr>
                <w:rFonts w:ascii="Cambria" w:hAnsi="Cambria" w:eastAsia="黑体"/>
                <w:b/>
                <w:sz w:val="18"/>
              </w:rPr>
            </w:pPr>
          </w:p>
        </w:tc>
        <w:tc>
          <w:tcPr>
            <w:tcW w:w="6531" w:type="dxa"/>
          </w:tcPr>
          <w:p w14:paraId="58120D7E">
            <w:pPr>
              <w:tabs>
                <w:tab w:val="left" w:pos="6574"/>
              </w:tabs>
              <w:wordWrap w:val="0"/>
              <w:spacing w:before="48" w:beforeLines="20" w:line="276" w:lineRule="auto"/>
              <w:ind w:left="2322" w:hanging="1995"/>
              <w:jc w:val="right"/>
              <w:rPr>
                <w:rFonts w:ascii="Cambria" w:hAnsi="Cambria" w:eastAsia="黑体"/>
                <w:b/>
                <w:sz w:val="72"/>
                <w:szCs w:val="72"/>
              </w:rPr>
            </w:pPr>
            <w:r>
              <w:rPr>
                <w:rFonts w:hint="eastAsia" w:ascii="Cambria" w:hAnsi="Cambria" w:eastAsia="黑体"/>
                <w:b/>
                <w:color w:val="0C1F0E"/>
                <w:sz w:val="76"/>
              </w:rPr>
              <w:t xml:space="preserve">         </w:t>
            </w:r>
            <w:r>
              <w:rPr>
                <w:rFonts w:hint="eastAsia" w:ascii="Cambria" w:hAnsi="Cambria" w:eastAsia="黑体"/>
                <w:b/>
                <w:color w:val="0C1F0E"/>
                <w:sz w:val="72"/>
                <w:szCs w:val="72"/>
              </w:rPr>
              <w:t xml:space="preserve"> </w:t>
            </w:r>
            <w:r>
              <w:rPr>
                <w:rFonts w:ascii="Cambria" w:hAnsi="Cambria" w:eastAsia="黑体"/>
                <w:b/>
                <w:color w:val="0C1F0E"/>
                <w:sz w:val="72"/>
                <w:szCs w:val="72"/>
              </w:rPr>
              <w:t xml:space="preserve">SCM </w:t>
            </w:r>
          </w:p>
        </w:tc>
      </w:tr>
      <w:tr w14:paraId="47BFB21C">
        <w:tblPrEx>
          <w:tblCellMar>
            <w:top w:w="0" w:type="dxa"/>
            <w:left w:w="108" w:type="dxa"/>
            <w:bottom w:w="0" w:type="dxa"/>
            <w:right w:w="108" w:type="dxa"/>
          </w:tblCellMar>
        </w:tblPrEx>
        <w:trPr>
          <w:trHeight w:val="1581" w:hRule="atLeast"/>
          <w:jc w:val="center"/>
        </w:trPr>
        <w:tc>
          <w:tcPr>
            <w:tcW w:w="1730" w:type="dxa"/>
            <w:vAlign w:val="center"/>
          </w:tcPr>
          <w:p w14:paraId="58B0F704">
            <w:pPr>
              <w:spacing w:line="276" w:lineRule="auto"/>
              <w:ind w:left="980" w:hanging="560"/>
              <w:rPr>
                <w:rFonts w:ascii="Cambria" w:hAnsi="Cambria" w:eastAsia="黑体" w:cs="Arial"/>
                <w:sz w:val="28"/>
              </w:rPr>
            </w:pPr>
            <w:r>
              <w:rPr>
                <w:rFonts w:hint="eastAsia" w:ascii="Cambria" w:hAnsi="Cambria" w:eastAsia="黑体" w:cs="Arial"/>
                <w:sz w:val="28"/>
              </w:rPr>
              <w:drawing>
                <wp:anchor distT="0" distB="0" distL="114300" distR="114300" simplePos="0" relativeHeight="251661312" behindDoc="0" locked="0" layoutInCell="1" allowOverlap="1">
                  <wp:simplePos x="0" y="0"/>
                  <wp:positionH relativeFrom="column">
                    <wp:posOffset>0</wp:posOffset>
                  </wp:positionH>
                  <wp:positionV relativeFrom="paragraph">
                    <wp:posOffset>34925</wp:posOffset>
                  </wp:positionV>
                  <wp:extent cx="959485" cy="959485"/>
                  <wp:effectExtent l="0" t="0" r="5715" b="5715"/>
                  <wp:wrapNone/>
                  <wp:docPr id="1" name="图片 12" descr="中联标（正确）-八卦图是反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中联标（正确）-八卦图是反S"/>
                          <pic:cNvPicPr>
                            <a:picLocks noChangeAspect="1"/>
                          </pic:cNvPicPr>
                        </pic:nvPicPr>
                        <pic:blipFill>
                          <a:blip r:embed="rId10"/>
                          <a:stretch>
                            <a:fillRect/>
                          </a:stretch>
                        </pic:blipFill>
                        <pic:spPr>
                          <a:xfrm>
                            <a:off x="0" y="0"/>
                            <a:ext cx="959485" cy="959485"/>
                          </a:xfrm>
                          <a:prstGeom prst="rect">
                            <a:avLst/>
                          </a:prstGeom>
                          <a:noFill/>
                          <a:ln>
                            <a:noFill/>
                          </a:ln>
                        </pic:spPr>
                      </pic:pic>
                    </a:graphicData>
                  </a:graphic>
                </wp:anchor>
              </w:drawing>
            </w:r>
          </w:p>
        </w:tc>
        <w:tc>
          <w:tcPr>
            <w:tcW w:w="9194" w:type="dxa"/>
            <w:gridSpan w:val="2"/>
          </w:tcPr>
          <w:p w14:paraId="18013856">
            <w:pPr>
              <w:spacing w:before="192" w:beforeLines="80" w:line="276" w:lineRule="auto"/>
              <w:jc w:val="left"/>
              <w:rPr>
                <w:rFonts w:ascii="Cambria" w:hAnsi="Cambria" w:eastAsia="黑体" w:cs="Arial"/>
                <w:bCs/>
                <w:color w:val="0C1F0E"/>
                <w:sz w:val="36"/>
                <w:szCs w:val="36"/>
              </w:rPr>
            </w:pPr>
            <w:r>
              <w:rPr>
                <w:rFonts w:hint="eastAsia" w:ascii="Cambria" w:hAnsi="Cambria" w:eastAsia="黑体" w:cs="Arial"/>
                <w:bCs/>
                <w:color w:val="0C1F0E"/>
                <w:spacing w:val="0"/>
                <w:kern w:val="0"/>
                <w:sz w:val="36"/>
                <w:szCs w:val="36"/>
                <w:fitText w:val="3600" w:id="-2003135488"/>
              </w:rPr>
              <w:t>世界中医药学会联合会</w:t>
            </w:r>
            <w:r>
              <w:rPr>
                <w:rFonts w:hint="eastAsia" w:ascii="Cambria" w:hAnsi="Cambria" w:eastAsia="黑体" w:cs="Arial"/>
                <w:bCs/>
                <w:color w:val="0C1F0E"/>
                <w:kern w:val="0"/>
                <w:sz w:val="36"/>
                <w:szCs w:val="36"/>
              </w:rPr>
              <w:t xml:space="preserve">               </w:t>
            </w:r>
          </w:p>
          <w:p w14:paraId="01DAF398">
            <w:pPr>
              <w:spacing w:line="276" w:lineRule="auto"/>
              <w:jc w:val="left"/>
              <w:rPr>
                <w:rFonts w:ascii="Cambria" w:hAnsi="Cambria" w:eastAsia="黑体" w:cs="Arial"/>
                <w:sz w:val="36"/>
              </w:rPr>
            </w:pPr>
            <w:r>
              <w:rPr>
                <w:rFonts w:hint="eastAsia" w:ascii="Cambria" w:hAnsi="Cambria" w:eastAsia="黑体" w:cs="Arial"/>
                <w:color w:val="0C1F0E"/>
                <w:sz w:val="32"/>
                <w:szCs w:val="32"/>
              </w:rPr>
              <w:t>World Federation of Chinese Medicine Societies</w:t>
            </w:r>
          </w:p>
        </w:tc>
      </w:tr>
      <w:tr w14:paraId="21FC1961">
        <w:tblPrEx>
          <w:tblCellMar>
            <w:top w:w="0" w:type="dxa"/>
            <w:left w:w="108" w:type="dxa"/>
            <w:bottom w:w="0" w:type="dxa"/>
            <w:right w:w="108" w:type="dxa"/>
          </w:tblCellMar>
        </w:tblPrEx>
        <w:trPr>
          <w:trHeight w:val="599" w:hRule="atLeast"/>
          <w:jc w:val="center"/>
        </w:trPr>
        <w:tc>
          <w:tcPr>
            <w:tcW w:w="10924" w:type="dxa"/>
            <w:gridSpan w:val="3"/>
            <w:tcBorders>
              <w:bottom w:val="single" w:color="auto" w:sz="4" w:space="0"/>
            </w:tcBorders>
          </w:tcPr>
          <w:p w14:paraId="2020B63E">
            <w:pPr>
              <w:spacing w:line="276" w:lineRule="auto"/>
              <w:ind w:left="32" w:right="24"/>
              <w:rPr>
                <w:rFonts w:hint="eastAsia" w:ascii="Cambria" w:hAnsi="Cambria" w:eastAsia="等线" w:cs="Arial"/>
                <w:sz w:val="28"/>
                <w:lang w:val="en-US" w:eastAsia="zh-CN"/>
              </w:rPr>
            </w:pPr>
            <w:r>
              <w:rPr>
                <w:rFonts w:ascii="Cambria" w:hAnsi="Cambria" w:eastAsia="等线" w:cs="Arial"/>
                <w:color w:val="0C1F0E"/>
                <w:sz w:val="24"/>
                <w:szCs w:val="32"/>
              </w:rPr>
              <w:t xml:space="preserve">                                                        </w:t>
            </w:r>
            <w:r>
              <w:rPr>
                <w:rFonts w:hint="eastAsia" w:ascii="Cambria" w:hAnsi="Cambria" w:eastAsia="等线" w:cs="Arial"/>
                <w:color w:val="0C1F0E"/>
                <w:sz w:val="24"/>
                <w:szCs w:val="32"/>
              </w:rPr>
              <w:t xml:space="preserve">          </w:t>
            </w:r>
            <w:r>
              <w:rPr>
                <w:rFonts w:ascii="Cambria" w:hAnsi="Cambria" w:eastAsia="等线" w:cs="Arial"/>
                <w:bCs/>
                <w:color w:val="0C1F0E"/>
                <w:sz w:val="28"/>
                <w:szCs w:val="28"/>
              </w:rPr>
              <w:t xml:space="preserve"> </w:t>
            </w:r>
            <w:r>
              <w:rPr>
                <w:rFonts w:ascii="Cambria" w:hAnsi="Cambria" w:eastAsia="等线" w:cs="Arial"/>
                <w:b/>
                <w:color w:val="0C1F0E"/>
                <w:sz w:val="30"/>
                <w:szCs w:val="30"/>
              </w:rPr>
              <w:t>SCM</w:t>
            </w:r>
            <w:r>
              <w:rPr>
                <w:rFonts w:hint="eastAsia" w:ascii="Cambria" w:hAnsi="Cambria" w:eastAsia="等线" w:cs="Arial"/>
                <w:b/>
                <w:color w:val="0C1F0E"/>
                <w:sz w:val="30"/>
                <w:szCs w:val="30"/>
                <w:lang w:val="en-US" w:eastAsia="zh-CN"/>
              </w:rPr>
              <w:t>/NP</w:t>
            </w:r>
            <w:r>
              <w:rPr>
                <w:rFonts w:ascii="Cambria" w:hAnsi="Cambria" w:eastAsia="等线" w:cs="Arial"/>
                <w:b/>
                <w:color w:val="0C1F0E"/>
                <w:sz w:val="30"/>
                <w:szCs w:val="30"/>
              </w:rPr>
              <w:t>-20</w:t>
            </w:r>
            <w:r>
              <w:rPr>
                <w:rFonts w:hint="eastAsia" w:ascii="Cambria" w:hAnsi="Cambria" w:eastAsia="等线" w:cs="Arial"/>
                <w:b/>
                <w:color w:val="0C1F0E"/>
                <w:sz w:val="30"/>
                <w:szCs w:val="30"/>
                <w:lang w:val="en-US" w:eastAsia="zh-CN"/>
              </w:rPr>
              <w:t>25-190</w:t>
            </w:r>
          </w:p>
        </w:tc>
      </w:tr>
      <w:tr w14:paraId="373B2FB5">
        <w:tblPrEx>
          <w:tblCellMar>
            <w:top w:w="0" w:type="dxa"/>
            <w:left w:w="108" w:type="dxa"/>
            <w:bottom w:w="0" w:type="dxa"/>
            <w:right w:w="108" w:type="dxa"/>
          </w:tblCellMar>
        </w:tblPrEx>
        <w:trPr>
          <w:trHeight w:val="6006" w:hRule="atLeast"/>
          <w:jc w:val="center"/>
        </w:trPr>
        <w:tc>
          <w:tcPr>
            <w:tcW w:w="10924" w:type="dxa"/>
            <w:gridSpan w:val="3"/>
            <w:tcBorders>
              <w:top w:val="single" w:color="auto" w:sz="4" w:space="0"/>
            </w:tcBorders>
          </w:tcPr>
          <w:p w14:paraId="5F666232">
            <w:pPr>
              <w:spacing w:line="276" w:lineRule="auto"/>
              <w:ind w:left="1384" w:hanging="964"/>
              <w:jc w:val="center"/>
              <w:rPr>
                <w:rFonts w:ascii="Cambria" w:hAnsi="Cambria" w:eastAsia="黑体"/>
                <w:b/>
                <w:color w:val="0C1F0E"/>
                <w:sz w:val="48"/>
              </w:rPr>
            </w:pPr>
          </w:p>
          <w:p w14:paraId="75D20EB3">
            <w:pPr>
              <w:spacing w:line="276" w:lineRule="auto"/>
              <w:ind w:left="1384" w:hanging="964"/>
              <w:jc w:val="center"/>
              <w:rPr>
                <w:rFonts w:ascii="Cambria" w:hAnsi="Cambria" w:eastAsia="黑体"/>
                <w:b/>
                <w:color w:val="0C1F0E"/>
                <w:sz w:val="48"/>
              </w:rPr>
            </w:pPr>
          </w:p>
          <w:p w14:paraId="168AD082">
            <w:pPr>
              <w:spacing w:line="276" w:lineRule="auto"/>
              <w:jc w:val="center"/>
              <w:rPr>
                <w:rFonts w:ascii="Cambria" w:hAnsi="Cambria" w:eastAsia="黑体"/>
                <w:bCs/>
                <w:color w:val="0C1F0E"/>
                <w:sz w:val="52"/>
              </w:rPr>
            </w:pPr>
            <w:r>
              <w:rPr>
                <w:rFonts w:hint="eastAsia" w:ascii="Cambria" w:hAnsi="Cambria" w:eastAsia="黑体"/>
                <w:bCs/>
                <w:color w:val="0C1F0E"/>
                <w:sz w:val="52"/>
              </w:rPr>
              <w:t>国际中医技术操作规范</w:t>
            </w:r>
            <w:r>
              <w:rPr>
                <w:rFonts w:hint="eastAsia" w:ascii="Cambria" w:hAnsi="Cambria" w:eastAsia="黑体"/>
                <w:bCs/>
                <w:color w:val="0C1F0E"/>
                <w:sz w:val="52"/>
                <w:lang w:val="en-US" w:eastAsia="zh-CN"/>
              </w:rPr>
              <w:t xml:space="preserve"> </w:t>
            </w:r>
            <w:r>
              <w:rPr>
                <w:rFonts w:hint="eastAsia" w:ascii="Cambria" w:hAnsi="Cambria" w:eastAsia="黑体"/>
                <w:bCs/>
                <w:color w:val="0C1F0E"/>
                <w:sz w:val="52"/>
              </w:rPr>
              <w:t xml:space="preserve">儿科  </w:t>
            </w:r>
          </w:p>
          <w:p w14:paraId="666DB8DB">
            <w:pPr>
              <w:spacing w:line="276" w:lineRule="auto"/>
              <w:jc w:val="center"/>
              <w:rPr>
                <w:rFonts w:ascii="Cambria" w:hAnsi="Cambria" w:eastAsia="黑体"/>
                <w:bCs/>
                <w:color w:val="0C1F0E"/>
                <w:sz w:val="52"/>
              </w:rPr>
            </w:pPr>
            <w:r>
              <w:rPr>
                <w:rFonts w:hint="eastAsia" w:ascii="Cambria" w:hAnsi="Cambria" w:eastAsia="黑体"/>
                <w:bCs/>
                <w:color w:val="0C1F0E"/>
                <w:sz w:val="52"/>
              </w:rPr>
              <w:t>第1部分：小儿内治给药方法</w:t>
            </w:r>
          </w:p>
          <w:p w14:paraId="1A599B27">
            <w:pPr>
              <w:spacing w:line="276" w:lineRule="auto"/>
              <w:jc w:val="center"/>
              <w:rPr>
                <w:rFonts w:ascii="Cambria" w:hAnsi="Cambria" w:eastAsia="黑体"/>
                <w:color w:val="0C1F0E"/>
                <w:sz w:val="32"/>
                <w:szCs w:val="32"/>
              </w:rPr>
            </w:pPr>
          </w:p>
          <w:p w14:paraId="7AA1E8BA">
            <w:pPr>
              <w:spacing w:line="276" w:lineRule="auto"/>
              <w:jc w:val="center"/>
              <w:rPr>
                <w:rFonts w:ascii="Cambria" w:hAnsi="Cambria" w:eastAsia="黑体"/>
                <w:color w:val="0C1F0E"/>
                <w:sz w:val="32"/>
                <w:szCs w:val="32"/>
              </w:rPr>
            </w:pPr>
            <w:r>
              <w:rPr>
                <w:rFonts w:hint="eastAsia" w:ascii="Cambria" w:hAnsi="Cambria" w:eastAsia="黑体"/>
                <w:color w:val="0C1F0E"/>
                <w:sz w:val="32"/>
                <w:szCs w:val="32"/>
              </w:rPr>
              <w:t xml:space="preserve">International standardized manipulations of Chinese medicine Pediatrics </w:t>
            </w:r>
          </w:p>
          <w:p w14:paraId="306A254D">
            <w:pPr>
              <w:spacing w:line="276" w:lineRule="auto"/>
              <w:jc w:val="center"/>
              <w:rPr>
                <w:rFonts w:ascii="Cambria" w:hAnsi="Cambria" w:eastAsia="黑体"/>
                <w:color w:val="0C1F0E"/>
                <w:sz w:val="32"/>
                <w:szCs w:val="32"/>
              </w:rPr>
            </w:pPr>
            <w:r>
              <w:rPr>
                <w:rFonts w:hint="eastAsia" w:ascii="Cambria" w:hAnsi="Cambria" w:eastAsia="黑体"/>
                <w:color w:val="0C1F0E"/>
                <w:sz w:val="32"/>
                <w:szCs w:val="32"/>
              </w:rPr>
              <w:t>Part 1：Internal treatments</w:t>
            </w:r>
          </w:p>
          <w:p w14:paraId="7325CD04">
            <w:pPr>
              <w:spacing w:line="276" w:lineRule="auto"/>
              <w:rPr>
                <w:rFonts w:ascii="Cambria" w:hAnsi="Cambria" w:eastAsia="黑体"/>
                <w:color w:val="0C1F0E"/>
                <w:sz w:val="28"/>
              </w:rPr>
            </w:pPr>
          </w:p>
          <w:p w14:paraId="0C370EB0">
            <w:pPr>
              <w:spacing w:line="276" w:lineRule="auto"/>
              <w:jc w:val="center"/>
              <w:rPr>
                <w:rFonts w:hint="eastAsia" w:ascii="Cambria" w:hAnsi="Cambria" w:eastAsia="黑体"/>
                <w:sz w:val="32"/>
                <w:szCs w:val="32"/>
              </w:rPr>
            </w:pPr>
            <w:r>
              <w:rPr>
                <w:rFonts w:hint="eastAsia" w:ascii="Cambria" w:hAnsi="Cambria" w:eastAsia="黑体"/>
                <w:sz w:val="32"/>
                <w:szCs w:val="32"/>
              </w:rPr>
              <w:t>（</w:t>
            </w:r>
            <w:r>
              <w:rPr>
                <w:rFonts w:hint="eastAsia" w:ascii="Cambria" w:hAnsi="Cambria" w:eastAsia="黑体"/>
                <w:sz w:val="32"/>
                <w:szCs w:val="32"/>
                <w:lang w:val="en-US" w:eastAsia="zh-CN"/>
              </w:rPr>
              <w:t>征求意见</w:t>
            </w:r>
            <w:r>
              <w:rPr>
                <w:rFonts w:hint="eastAsia" w:ascii="Cambria" w:hAnsi="Cambria" w:eastAsia="黑体"/>
                <w:sz w:val="32"/>
                <w:szCs w:val="32"/>
              </w:rPr>
              <w:t>草案</w:t>
            </w:r>
            <w:r>
              <w:rPr>
                <w:rFonts w:hint="eastAsia" w:ascii="Cambria" w:hAnsi="Cambria" w:eastAsia="黑体"/>
                <w:sz w:val="32"/>
                <w:szCs w:val="32"/>
                <w:lang w:val="en-US" w:eastAsia="zh-CN"/>
              </w:rPr>
              <w:t>，CD</w:t>
            </w:r>
            <w:bookmarkStart w:id="390" w:name="_GoBack"/>
            <w:bookmarkEnd w:id="390"/>
            <w:r>
              <w:rPr>
                <w:rFonts w:hint="eastAsia" w:ascii="Cambria" w:hAnsi="Cambria" w:eastAsia="黑体"/>
                <w:sz w:val="32"/>
                <w:szCs w:val="32"/>
              </w:rPr>
              <w:t>）</w:t>
            </w:r>
          </w:p>
          <w:p w14:paraId="136CF21A">
            <w:pPr>
              <w:spacing w:line="276" w:lineRule="auto"/>
              <w:jc w:val="center"/>
              <w:rPr>
                <w:rFonts w:hint="eastAsia" w:ascii="Cambria" w:hAnsi="Cambria" w:eastAsia="黑体"/>
                <w:sz w:val="32"/>
                <w:szCs w:val="32"/>
              </w:rPr>
            </w:pPr>
          </w:p>
          <w:p w14:paraId="5E1A5159">
            <w:pPr>
              <w:spacing w:line="276" w:lineRule="auto"/>
              <w:jc w:val="center"/>
              <w:rPr>
                <w:rFonts w:hint="eastAsia" w:ascii="Cambria" w:hAnsi="Cambria" w:eastAsia="黑体"/>
                <w:sz w:val="32"/>
                <w:szCs w:val="32"/>
              </w:rPr>
            </w:pPr>
          </w:p>
          <w:p w14:paraId="7BBE1CEA">
            <w:pPr>
              <w:spacing w:line="276" w:lineRule="auto"/>
              <w:jc w:val="center"/>
              <w:rPr>
                <w:rFonts w:hint="eastAsia" w:ascii="Cambria" w:hAnsi="Cambria" w:eastAsia="黑体"/>
                <w:sz w:val="32"/>
                <w:szCs w:val="32"/>
              </w:rPr>
            </w:pPr>
          </w:p>
          <w:p w14:paraId="63CE1820">
            <w:pPr>
              <w:spacing w:line="276" w:lineRule="auto"/>
              <w:jc w:val="center"/>
              <w:rPr>
                <w:rFonts w:hint="eastAsia" w:ascii="Cambria" w:hAnsi="Cambria" w:eastAsia="黑体"/>
                <w:sz w:val="32"/>
                <w:szCs w:val="32"/>
              </w:rPr>
            </w:pPr>
          </w:p>
          <w:p w14:paraId="55307F6E">
            <w:pPr>
              <w:spacing w:line="276" w:lineRule="auto"/>
              <w:jc w:val="center"/>
              <w:rPr>
                <w:rFonts w:hint="eastAsia" w:ascii="Cambria" w:hAnsi="Cambria" w:eastAsia="黑体"/>
                <w:sz w:val="32"/>
                <w:szCs w:val="32"/>
              </w:rPr>
            </w:pPr>
          </w:p>
          <w:p w14:paraId="213A52CE">
            <w:pPr>
              <w:spacing w:line="276" w:lineRule="auto"/>
              <w:jc w:val="center"/>
              <w:rPr>
                <w:rFonts w:hint="eastAsia" w:ascii="Cambria" w:hAnsi="Cambria" w:eastAsia="黑体"/>
                <w:sz w:val="32"/>
                <w:szCs w:val="32"/>
              </w:rPr>
            </w:pPr>
          </w:p>
        </w:tc>
      </w:tr>
      <w:tr w14:paraId="7A57DE02">
        <w:tblPrEx>
          <w:tblCellMar>
            <w:top w:w="0" w:type="dxa"/>
            <w:left w:w="108" w:type="dxa"/>
            <w:bottom w:w="0" w:type="dxa"/>
            <w:right w:w="108" w:type="dxa"/>
          </w:tblCellMar>
        </w:tblPrEx>
        <w:trPr>
          <w:trHeight w:val="588" w:hRule="atLeast"/>
          <w:jc w:val="center"/>
        </w:trPr>
        <w:tc>
          <w:tcPr>
            <w:tcW w:w="10924" w:type="dxa"/>
            <w:gridSpan w:val="3"/>
          </w:tcPr>
          <w:p w14:paraId="52182BC7">
            <w:pPr>
              <w:spacing w:line="276" w:lineRule="auto"/>
              <w:rPr>
                <w:color w:val="000000"/>
                <w:sz w:val="28"/>
              </w:rPr>
            </w:pPr>
          </w:p>
          <w:p w14:paraId="04544F1B">
            <w:pPr>
              <w:spacing w:line="276" w:lineRule="auto"/>
              <w:rPr>
                <w:rFonts w:hint="eastAsia" w:ascii="黑体" w:hAnsi="黑体" w:eastAsia="黑体" w:cs="宋体"/>
                <w:color w:val="000000"/>
                <w:sz w:val="28"/>
              </w:rPr>
            </w:pPr>
            <w:r>
              <w:rPr>
                <w:rFonts w:hint="eastAsia" w:ascii="黑体" w:hAnsi="黑体" w:eastAsia="黑体" w:cs="宋体"/>
                <w:color w:val="000000"/>
                <w:sz w:val="28"/>
                <w:szCs w:val="28"/>
              </w:rPr>
              <w:t>世界中联</w:t>
            </w:r>
            <w:r>
              <w:rPr>
                <w:rFonts w:hint="eastAsia" w:ascii="黑体" w:hAnsi="黑体" w:eastAsia="黑体" w:cs="宋体"/>
                <w:color w:val="000000"/>
                <w:sz w:val="28"/>
              </w:rPr>
              <w:t>国际组织标准</w:t>
            </w:r>
            <w:r>
              <w:rPr>
                <w:rFonts w:hint="eastAsia" w:ascii="黑体" w:hAnsi="黑体" w:eastAsia="黑体"/>
                <w:color w:val="000000"/>
                <w:sz w:val="28"/>
              </w:rPr>
              <w:t xml:space="preserve">  </w:t>
            </w:r>
            <w:r>
              <w:rPr>
                <w:rFonts w:hint="eastAsia"/>
                <w:color w:val="000000"/>
                <w:sz w:val="28"/>
              </w:rPr>
              <w:t xml:space="preserve">                           </w:t>
            </w:r>
            <w:r>
              <w:rPr>
                <w:rFonts w:hint="eastAsia" w:ascii="宋体" w:hAnsi="宋体" w:cs="宋体"/>
                <w:color w:val="000000"/>
                <w:sz w:val="28"/>
              </w:rPr>
              <w:t xml:space="preserve">        </w:t>
            </w:r>
            <w:r>
              <w:rPr>
                <w:rFonts w:hint="eastAsia" w:ascii="黑体" w:hAnsi="黑体" w:eastAsia="黑体" w:cs="宋体"/>
                <w:color w:val="000000"/>
                <w:sz w:val="28"/>
                <w:szCs w:val="28"/>
              </w:rPr>
              <w:t>20**-**-**发布实施</w:t>
            </w:r>
          </w:p>
          <w:p w14:paraId="316B822C">
            <w:pPr>
              <w:spacing w:line="276" w:lineRule="auto"/>
              <w:rPr>
                <w:rFonts w:ascii="Cambria"/>
                <w:color w:val="000000"/>
                <w:sz w:val="24"/>
              </w:rPr>
            </w:pPr>
            <w:r>
              <w:rPr>
                <w:rFonts w:hint="eastAsia" w:ascii="Cambria"/>
                <w:color w:val="000000"/>
                <w:sz w:val="24"/>
              </w:rPr>
              <w:t>International Standard of WFCMS</w:t>
            </w:r>
            <w:r>
              <w:rPr>
                <w:rFonts w:hint="eastAsia"/>
                <w:color w:val="000000"/>
                <w:sz w:val="24"/>
              </w:rPr>
              <w:t xml:space="preserve"> </w:t>
            </w:r>
            <w:r>
              <w:rPr>
                <w:rFonts w:hint="eastAsia"/>
                <w:color w:val="000000"/>
                <w:sz w:val="28"/>
              </w:rPr>
              <w:t xml:space="preserve">                        </w:t>
            </w:r>
            <w:r>
              <w:rPr>
                <w:rFonts w:hint="eastAsia" w:ascii="Cambria"/>
                <w:color w:val="000000"/>
                <w:sz w:val="24"/>
              </w:rPr>
              <w:t>Issued &amp; implemented on ** **, 20**</w:t>
            </w:r>
          </w:p>
          <w:p w14:paraId="046D90C7">
            <w:pPr>
              <w:spacing w:line="276" w:lineRule="auto"/>
              <w:rPr>
                <w:color w:val="000000"/>
                <w:sz w:val="28"/>
              </w:rPr>
            </w:pPr>
            <w:r>
              <w:rPr>
                <w:rFonts w:eastAsia="华文仿宋"/>
                <w:szCs w:val="2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80645</wp:posOffset>
                      </wp:positionV>
                      <wp:extent cx="6838315" cy="31750"/>
                      <wp:effectExtent l="0" t="6350" r="19685" b="12700"/>
                      <wp:wrapNone/>
                      <wp:docPr id="1027" name="直接连接符 2"/>
                      <wp:cNvGraphicFramePr/>
                      <a:graphic xmlns:a="http://schemas.openxmlformats.org/drawingml/2006/main">
                        <a:graphicData uri="http://schemas.microsoft.com/office/word/2010/wordprocessingShape">
                          <wps:wsp>
                            <wps:cNvCnPr/>
                            <wps:spPr>
                              <a:xfrm>
                                <a:off x="0" y="0"/>
                                <a:ext cx="6360795" cy="31750"/>
                              </a:xfrm>
                              <a:prstGeom prst="line">
                                <a:avLst/>
                              </a:prstGeom>
                              <a:ln w="9525" cap="flat" cmpd="sng">
                                <a:solidFill>
                                  <a:srgbClr val="000000"/>
                                </a:solidFill>
                                <a:prstDash val="solid"/>
                                <a:round/>
                              </a:ln>
                              <a:effectLst/>
                            </wps:spPr>
                            <wps:bodyPr/>
                          </wps:wsp>
                        </a:graphicData>
                      </a:graphic>
                    </wp:anchor>
                  </w:drawing>
                </mc:Choice>
                <mc:Fallback>
                  <w:pict>
                    <v:line id="直接连接符 2" o:spid="_x0000_s1026" o:spt="20" style="position:absolute;left:0pt;margin-left:0pt;margin-top:6.35pt;height:2.5pt;width:538.45pt;z-index:251660288;mso-width-relative:page;mso-height-relative:page;" filled="f" stroked="t" coordsize="21600,21600" o:gfxdata="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LZk17VAAAABwEAAA8AAAAA&#10;AAAAAQAgAAAAIgAAAGRycy9kb3ducmV2LnhtbFBLAQIUABQAAAAIAIdO4kCz9rUL3gEAAKMDAAAO&#10;AAAAAAAAAAEAIAAAACQBAABkcnMvZTJvRG9jLnhtbFBLBQYAAAAABgAGAFkBAAB0BQAAAAA=&#10;">
                      <v:fill on="f" focussize="0,0"/>
                      <v:stroke color="#000000" joinstyle="round"/>
                      <v:imagedata o:title=""/>
                      <o:lock v:ext="edit" aspectratio="f"/>
                    </v:line>
                  </w:pict>
                </mc:Fallback>
              </mc:AlternateContent>
            </w:r>
          </w:p>
        </w:tc>
      </w:tr>
    </w:tbl>
    <w:p w14:paraId="6591FFCB">
      <w:pPr>
        <w:pStyle w:val="40"/>
        <w:spacing w:before="287" w:beforeLines="100" w:after="287" w:afterLines="100" w:line="276" w:lineRule="auto"/>
        <w:jc w:val="center"/>
        <w:rPr>
          <w:rFonts w:ascii="Cambria" w:hAnsi="Cambria"/>
          <w:bCs/>
          <w:szCs w:val="18"/>
          <w:lang w:val="zh-CN"/>
        </w:rPr>
      </w:pPr>
      <w:r>
        <w:rPr>
          <w:rFonts w:ascii="Cambria" w:hAnsi="Cambria" w:eastAsia="黑体"/>
          <w:color w:val="auto"/>
        </w:rPr>
        <w:t>目  次</w:t>
      </w:r>
    </w:p>
    <w:sdt>
      <w:sdtPr>
        <w:rPr>
          <w:rFonts w:ascii="宋体" w:hAnsi="宋体" w:eastAsia="宋体" w:cs="Times New Roman"/>
          <w:kern w:val="2"/>
          <w:sz w:val="21"/>
          <w:szCs w:val="21"/>
          <w:lang w:val="en-US" w:eastAsia="zh-CN" w:bidi="ar-SA"/>
        </w:rPr>
        <w:id w:val="147458536"/>
        <w15:color w:val="DBDBDB"/>
        <w:docPartObj>
          <w:docPartGallery w:val="Table of Contents"/>
          <w:docPartUnique/>
        </w:docPartObj>
      </w:sdtPr>
      <w:sdtEndPr>
        <w:rPr>
          <w:rFonts w:ascii="Cambria" w:hAnsi="Cambria" w:eastAsia="宋体" w:cs="Times New Roman"/>
          <w:bCs/>
          <w:kern w:val="2"/>
          <w:sz w:val="21"/>
          <w:szCs w:val="18"/>
          <w:lang w:val="zh-CN" w:eastAsia="zh-CN" w:bidi="ar-SA"/>
        </w:rPr>
      </w:sdtEndPr>
      <w:sdtContent>
        <w:p w14:paraId="4F6AC843">
          <w:pPr>
            <w:spacing w:before="0" w:beforeLines="0" w:after="0" w:afterLines="0" w:line="240" w:lineRule="auto"/>
            <w:ind w:left="0" w:leftChars="0" w:right="0" w:rightChars="0" w:firstLine="0" w:firstLineChars="0"/>
            <w:jc w:val="center"/>
          </w:pPr>
        </w:p>
        <w:p w14:paraId="2CFDC3D8">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TOC \o "1-2" \h \u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_Toc22307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前  言</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_Toc22307 \h </w:instrText>
          </w:r>
          <w:r>
            <w:rPr>
              <w:rFonts w:hint="default" w:ascii="Cambria" w:hAnsi="Cambria" w:eastAsia="宋体" w:cs="Cambria"/>
              <w:sz w:val="21"/>
              <w:szCs w:val="21"/>
            </w:rPr>
            <w:fldChar w:fldCharType="separate"/>
          </w:r>
          <w:r>
            <w:rPr>
              <w:rFonts w:hint="default" w:ascii="Cambria" w:hAnsi="Cambria" w:eastAsia="宋体" w:cs="Cambria"/>
              <w:sz w:val="21"/>
              <w:szCs w:val="21"/>
            </w:rPr>
            <w:t>I</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0C86BE6">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_Toc26949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引  言</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_Toc26949 \h </w:instrText>
          </w:r>
          <w:r>
            <w:rPr>
              <w:rFonts w:hint="default" w:ascii="Cambria" w:hAnsi="Cambria" w:eastAsia="宋体" w:cs="Cambria"/>
              <w:sz w:val="21"/>
              <w:szCs w:val="21"/>
            </w:rPr>
            <w:fldChar w:fldCharType="separate"/>
          </w:r>
          <w:r>
            <w:rPr>
              <w:rFonts w:hint="default" w:ascii="Cambria" w:hAnsi="Cambria" w:eastAsia="宋体" w:cs="Cambria"/>
              <w:sz w:val="21"/>
              <w:szCs w:val="21"/>
            </w:rPr>
            <w:t>II</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2C13C0DF">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_Toc24162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1 范围</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_Toc24162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3B73232">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_Toc2541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2 规范性引用文件</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_Toc2541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4C002E74">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_Toc32342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3 术语和定义</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_Toc32342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4B7E90C8">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_Toc13551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4</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口服汤剂操作步骤与要求</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_Toc13551 \h </w:instrText>
          </w:r>
          <w:r>
            <w:rPr>
              <w:rFonts w:hint="default" w:ascii="Cambria" w:hAnsi="Cambria" w:eastAsia="宋体" w:cs="Cambria"/>
              <w:sz w:val="21"/>
              <w:szCs w:val="21"/>
            </w:rPr>
            <w:fldChar w:fldCharType="separate"/>
          </w:r>
          <w:r>
            <w:rPr>
              <w:rFonts w:hint="default" w:ascii="Cambria" w:hAnsi="Cambria" w:eastAsia="宋体" w:cs="Cambria"/>
              <w:sz w:val="21"/>
              <w:szCs w:val="21"/>
            </w:rPr>
            <w:t>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188A5940">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_Toc10970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4.1</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煎煮方法</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_Toc10970 \h </w:instrText>
          </w:r>
          <w:r>
            <w:rPr>
              <w:rFonts w:hint="default" w:ascii="Cambria" w:hAnsi="Cambria" w:eastAsia="宋体" w:cs="Cambria"/>
              <w:sz w:val="21"/>
              <w:szCs w:val="21"/>
            </w:rPr>
            <w:fldChar w:fldCharType="separate"/>
          </w:r>
          <w:r>
            <w:rPr>
              <w:rFonts w:hint="default" w:ascii="Cambria" w:hAnsi="Cambria" w:eastAsia="宋体" w:cs="Cambria"/>
              <w:sz w:val="21"/>
              <w:szCs w:val="21"/>
            </w:rPr>
            <w:t>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7837A6CE">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_Toc15465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4.2</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儿科汤剂服药方法</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_Toc15465 \h </w:instrText>
          </w:r>
          <w:r>
            <w:rPr>
              <w:rFonts w:hint="default" w:ascii="Cambria" w:hAnsi="Cambria" w:eastAsia="宋体" w:cs="Cambria"/>
              <w:sz w:val="21"/>
              <w:szCs w:val="21"/>
            </w:rPr>
            <w:fldChar w:fldCharType="separate"/>
          </w:r>
          <w:r>
            <w:rPr>
              <w:rFonts w:hint="default" w:ascii="Cambria" w:hAnsi="Cambria" w:eastAsia="宋体" w:cs="Cambria"/>
              <w:sz w:val="21"/>
              <w:szCs w:val="21"/>
            </w:rPr>
            <w:t>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3CAC131E">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_Toc11387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5</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口服中成药操作步骤与要求</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_Toc11387 \h </w:instrText>
          </w:r>
          <w:r>
            <w:rPr>
              <w:rFonts w:hint="default" w:ascii="Cambria" w:hAnsi="Cambria" w:eastAsia="宋体" w:cs="Cambria"/>
              <w:sz w:val="21"/>
              <w:szCs w:val="21"/>
            </w:rPr>
            <w:fldChar w:fldCharType="separate"/>
          </w:r>
          <w:r>
            <w:rPr>
              <w:rFonts w:hint="default" w:ascii="Cambria" w:hAnsi="Cambria" w:eastAsia="宋体" w:cs="Cambria"/>
              <w:sz w:val="21"/>
              <w:szCs w:val="21"/>
            </w:rPr>
            <w:t>5</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2081D1F">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_Toc12788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5.1</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服药前准备</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_Toc12788 \h </w:instrText>
          </w:r>
          <w:r>
            <w:rPr>
              <w:rFonts w:hint="default" w:ascii="Cambria" w:hAnsi="Cambria" w:eastAsia="宋体" w:cs="Cambria"/>
              <w:sz w:val="21"/>
              <w:szCs w:val="21"/>
            </w:rPr>
            <w:fldChar w:fldCharType="separate"/>
          </w:r>
          <w:r>
            <w:rPr>
              <w:rFonts w:hint="default" w:ascii="Cambria" w:hAnsi="Cambria" w:eastAsia="宋体" w:cs="Cambria"/>
              <w:sz w:val="21"/>
              <w:szCs w:val="21"/>
            </w:rPr>
            <w:t>5</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4F136B77">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_Toc5292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5.2</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服药方法</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_Toc5292 \h </w:instrText>
          </w:r>
          <w:r>
            <w:rPr>
              <w:rFonts w:hint="default" w:ascii="Cambria" w:hAnsi="Cambria" w:eastAsia="宋体" w:cs="Cambria"/>
              <w:sz w:val="21"/>
              <w:szCs w:val="21"/>
            </w:rPr>
            <w:fldChar w:fldCharType="separate"/>
          </w:r>
          <w:r>
            <w:rPr>
              <w:rFonts w:hint="default" w:ascii="Cambria" w:hAnsi="Cambria" w:eastAsia="宋体" w:cs="Cambria"/>
              <w:sz w:val="21"/>
              <w:szCs w:val="21"/>
            </w:rPr>
            <w:t>5</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6C897FF0">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_Toc30350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6</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中药鼻饲给药方法操作步骤与要求</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_Toc30350 \h </w:instrText>
          </w:r>
          <w:r>
            <w:rPr>
              <w:rFonts w:hint="default" w:ascii="Cambria" w:hAnsi="Cambria" w:eastAsia="宋体" w:cs="Cambria"/>
              <w:sz w:val="21"/>
              <w:szCs w:val="21"/>
            </w:rPr>
            <w:fldChar w:fldCharType="separate"/>
          </w:r>
          <w:r>
            <w:rPr>
              <w:rFonts w:hint="default" w:ascii="Cambria" w:hAnsi="Cambria" w:eastAsia="宋体" w:cs="Cambria"/>
              <w:sz w:val="21"/>
              <w:szCs w:val="21"/>
            </w:rPr>
            <w:t>7</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E2E167F">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_Toc18554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6.1</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操作前准备</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_Toc18554 \h </w:instrText>
          </w:r>
          <w:r>
            <w:rPr>
              <w:rFonts w:hint="default" w:ascii="Cambria" w:hAnsi="Cambria" w:eastAsia="宋体" w:cs="Cambria"/>
              <w:sz w:val="21"/>
              <w:szCs w:val="21"/>
            </w:rPr>
            <w:fldChar w:fldCharType="separate"/>
          </w:r>
          <w:r>
            <w:rPr>
              <w:rFonts w:hint="default" w:ascii="Cambria" w:hAnsi="Cambria" w:eastAsia="宋体" w:cs="Cambria"/>
              <w:sz w:val="21"/>
              <w:szCs w:val="21"/>
            </w:rPr>
            <w:t>7</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3EE4A868">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_Toc27374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6.2</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操作方法</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_Toc27374 \h </w:instrText>
          </w:r>
          <w:r>
            <w:rPr>
              <w:rFonts w:hint="default" w:ascii="Cambria" w:hAnsi="Cambria" w:eastAsia="宋体" w:cs="Cambria"/>
              <w:sz w:val="21"/>
              <w:szCs w:val="21"/>
            </w:rPr>
            <w:fldChar w:fldCharType="separate"/>
          </w:r>
          <w:r>
            <w:rPr>
              <w:rFonts w:hint="default" w:ascii="Cambria" w:hAnsi="Cambria" w:eastAsia="宋体" w:cs="Cambria"/>
              <w:sz w:val="21"/>
              <w:szCs w:val="21"/>
            </w:rPr>
            <w:t>8</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31E2587C">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_Toc32285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7</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中药直肠给药方法操作步骤与要求</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_Toc32285 \h </w:instrText>
          </w:r>
          <w:r>
            <w:rPr>
              <w:rFonts w:hint="default" w:ascii="Cambria" w:hAnsi="Cambria" w:eastAsia="宋体" w:cs="Cambria"/>
              <w:sz w:val="21"/>
              <w:szCs w:val="21"/>
            </w:rPr>
            <w:fldChar w:fldCharType="separate"/>
          </w:r>
          <w:r>
            <w:rPr>
              <w:rFonts w:hint="default" w:ascii="Cambria" w:hAnsi="Cambria" w:eastAsia="宋体" w:cs="Cambria"/>
              <w:sz w:val="21"/>
              <w:szCs w:val="21"/>
            </w:rPr>
            <w:t>9</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3E3D91AB">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_Toc19296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7.1</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操作前准备</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_Toc19296 \h </w:instrText>
          </w:r>
          <w:r>
            <w:rPr>
              <w:rFonts w:hint="default" w:ascii="Cambria" w:hAnsi="Cambria" w:eastAsia="宋体" w:cs="Cambria"/>
              <w:sz w:val="21"/>
              <w:szCs w:val="21"/>
            </w:rPr>
            <w:fldChar w:fldCharType="separate"/>
          </w:r>
          <w:r>
            <w:rPr>
              <w:rFonts w:hint="default" w:ascii="Cambria" w:hAnsi="Cambria" w:eastAsia="宋体" w:cs="Cambria"/>
              <w:sz w:val="21"/>
              <w:szCs w:val="21"/>
            </w:rPr>
            <w:t>9</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23A3B3B">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_Toc11224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7.2 操作方法</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_Toc11224 \h </w:instrText>
          </w:r>
          <w:r>
            <w:rPr>
              <w:rFonts w:hint="default" w:ascii="Cambria" w:hAnsi="Cambria" w:eastAsia="宋体" w:cs="Cambria"/>
              <w:sz w:val="21"/>
              <w:szCs w:val="21"/>
            </w:rPr>
            <w:fldChar w:fldCharType="separate"/>
          </w:r>
          <w:r>
            <w:rPr>
              <w:rFonts w:hint="default" w:ascii="Cambria" w:hAnsi="Cambria" w:eastAsia="宋体" w:cs="Cambria"/>
              <w:sz w:val="21"/>
              <w:szCs w:val="21"/>
            </w:rPr>
            <w:t>10</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AA02A2B">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_Toc23451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8</w:t>
          </w:r>
          <w:r>
            <w:rPr>
              <w:rFonts w:hint="default" w:ascii="Cambria" w:hAnsi="Cambria" w:eastAsia="宋体" w:cs="Cambria"/>
              <w:sz w:val="21"/>
              <w:szCs w:val="21"/>
              <w:lang w:val="en-US" w:eastAsia="zh-CN"/>
            </w:rPr>
            <w:t xml:space="preserve"> </w:t>
          </w:r>
          <w:r>
            <w:rPr>
              <w:rFonts w:hint="default" w:ascii="Cambria" w:hAnsi="Cambria" w:eastAsia="宋体" w:cs="Cambria"/>
              <w:sz w:val="21"/>
              <w:szCs w:val="21"/>
            </w:rPr>
            <w:t>注意事项和禁忌</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_Toc23451 \h </w:instrText>
          </w:r>
          <w:r>
            <w:rPr>
              <w:rFonts w:hint="default" w:ascii="Cambria" w:hAnsi="Cambria" w:eastAsia="宋体" w:cs="Cambria"/>
              <w:sz w:val="21"/>
              <w:szCs w:val="21"/>
            </w:rPr>
            <w:fldChar w:fldCharType="separate"/>
          </w:r>
          <w:r>
            <w:rPr>
              <w:rFonts w:hint="default" w:ascii="Cambria" w:hAnsi="Cambria" w:eastAsia="宋体" w:cs="Cambria"/>
              <w:sz w:val="21"/>
              <w:szCs w:val="21"/>
            </w:rPr>
            <w:t>10</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6E63FB69">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_Toc6913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附录A</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_Toc27185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（资料性）</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_Toc10285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中医儿科内治给药注意事项</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_Toc10285 \h </w:instrText>
          </w:r>
          <w:r>
            <w:rPr>
              <w:rFonts w:hint="default" w:ascii="Cambria" w:hAnsi="Cambria" w:eastAsia="宋体" w:cs="Cambria"/>
              <w:sz w:val="21"/>
              <w:szCs w:val="21"/>
            </w:rPr>
            <w:fldChar w:fldCharType="separate"/>
          </w:r>
          <w:r>
            <w:rPr>
              <w:rFonts w:hint="default" w:ascii="Cambria" w:hAnsi="Cambria" w:eastAsia="宋体" w:cs="Cambria"/>
              <w:sz w:val="21"/>
              <w:szCs w:val="21"/>
            </w:rPr>
            <w:t>11</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F3FF3E2">
          <w:pPr>
            <w:pStyle w:val="9"/>
            <w:tabs>
              <w:tab w:val="right" w:leader="dot" w:pos="8640"/>
            </w:tabs>
            <w:rPr>
              <w:rFonts w:hint="default" w:ascii="Cambria" w:hAnsi="Cambria" w:eastAsia="宋体" w:cs="Cambria"/>
              <w:sz w:val="21"/>
              <w:szCs w:val="21"/>
            </w:rPr>
          </w:pPr>
          <w:r>
            <w:rPr>
              <w:rFonts w:hint="eastAsia" w:ascii="Cambria" w:hAnsi="Cambria" w:eastAsia="宋体" w:cs="Cambria"/>
              <w:bCs/>
              <w:kern w:val="2"/>
              <w:sz w:val="21"/>
              <w:szCs w:val="21"/>
              <w:lang w:val="en-US" w:eastAsia="zh-CN" w:bidi="ar-SA"/>
            </w:rPr>
            <w:t>附录B</w:t>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_Toc12419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（资料性）</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_Toc16849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中医儿科内治给药禁忌</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_Toc16849 \h </w:instrText>
          </w:r>
          <w:r>
            <w:rPr>
              <w:rFonts w:hint="default" w:ascii="Cambria" w:hAnsi="Cambria" w:eastAsia="宋体" w:cs="Cambria"/>
              <w:sz w:val="21"/>
              <w:szCs w:val="21"/>
            </w:rPr>
            <w:fldChar w:fldCharType="separate"/>
          </w:r>
          <w:r>
            <w:rPr>
              <w:rFonts w:hint="default" w:ascii="Cambria" w:hAnsi="Cambria" w:eastAsia="宋体" w:cs="Cambria"/>
              <w:sz w:val="21"/>
              <w:szCs w:val="21"/>
            </w:rPr>
            <w:t>12</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8BC371C">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_Toc31591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sz w:val="21"/>
              <w:szCs w:val="21"/>
            </w:rPr>
            <w:t>参考文献</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_Toc31591 \h </w:instrText>
          </w:r>
          <w:r>
            <w:rPr>
              <w:rFonts w:hint="default" w:ascii="Cambria" w:hAnsi="Cambria" w:eastAsia="宋体" w:cs="Cambria"/>
              <w:sz w:val="21"/>
              <w:szCs w:val="21"/>
            </w:rPr>
            <w:fldChar w:fldCharType="separate"/>
          </w:r>
          <w:r>
            <w:rPr>
              <w:rFonts w:hint="default" w:ascii="Cambria" w:hAnsi="Cambria" w:eastAsia="宋体" w:cs="Cambria"/>
              <w:sz w:val="21"/>
              <w:szCs w:val="21"/>
            </w:rPr>
            <w:t>13</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DA036A6">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_Toc216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Foreword</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_Toc216 \h </w:instrText>
          </w:r>
          <w:r>
            <w:rPr>
              <w:rFonts w:hint="default" w:ascii="Cambria" w:hAnsi="Cambria" w:eastAsia="宋体" w:cs="Cambria"/>
              <w:sz w:val="21"/>
              <w:szCs w:val="21"/>
            </w:rPr>
            <w:fldChar w:fldCharType="separate"/>
          </w:r>
          <w:r>
            <w:rPr>
              <w:rFonts w:hint="default" w:ascii="Cambria" w:hAnsi="Cambria" w:eastAsia="宋体" w:cs="Cambria"/>
              <w:sz w:val="21"/>
              <w:szCs w:val="21"/>
            </w:rPr>
            <w:t>14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41B3D4BE">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_Toc10715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Introduction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_Toc10715 \h </w:instrText>
          </w:r>
          <w:r>
            <w:rPr>
              <w:rFonts w:hint="default" w:ascii="Cambria" w:hAnsi="Cambria" w:eastAsia="宋体" w:cs="Cambria"/>
              <w:sz w:val="21"/>
              <w:szCs w:val="21"/>
            </w:rPr>
            <w:fldChar w:fldCharType="separate"/>
          </w:r>
          <w:r>
            <w:rPr>
              <w:rFonts w:hint="default" w:ascii="Cambria" w:hAnsi="Cambria" w:eastAsia="宋体" w:cs="Cambria"/>
              <w:sz w:val="21"/>
              <w:szCs w:val="21"/>
            </w:rPr>
            <w:t>16</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3C34484">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_Toc21246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1 Scope</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_Toc21246 \h </w:instrText>
          </w:r>
          <w:r>
            <w:rPr>
              <w:rFonts w:hint="default" w:ascii="Cambria" w:hAnsi="Cambria" w:eastAsia="宋体" w:cs="Cambria"/>
              <w:sz w:val="21"/>
              <w:szCs w:val="21"/>
            </w:rPr>
            <w:fldChar w:fldCharType="separate"/>
          </w:r>
          <w:r>
            <w:rPr>
              <w:rFonts w:hint="default" w:ascii="Cambria" w:hAnsi="Cambria" w:eastAsia="宋体" w:cs="Cambria"/>
              <w:sz w:val="21"/>
              <w:szCs w:val="21"/>
            </w:rPr>
            <w:t>18</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12828CF2">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_Toc14975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highlight w:val="none"/>
            </w:rPr>
            <w:t>2 Normative references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_Toc14975 \h </w:instrText>
          </w:r>
          <w:r>
            <w:rPr>
              <w:rFonts w:hint="default" w:ascii="Cambria" w:hAnsi="Cambria" w:eastAsia="宋体" w:cs="Cambria"/>
              <w:sz w:val="21"/>
              <w:szCs w:val="21"/>
            </w:rPr>
            <w:fldChar w:fldCharType="separate"/>
          </w:r>
          <w:r>
            <w:rPr>
              <w:rFonts w:hint="default" w:ascii="Cambria" w:hAnsi="Cambria" w:eastAsia="宋体" w:cs="Cambria"/>
              <w:sz w:val="21"/>
              <w:szCs w:val="21"/>
            </w:rPr>
            <w:t>18</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D7B41FC">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_Toc11505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3 Terms and definitions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_Toc11505 \h </w:instrText>
          </w:r>
          <w:r>
            <w:rPr>
              <w:rFonts w:hint="default" w:ascii="Cambria" w:hAnsi="Cambria" w:eastAsia="宋体" w:cs="Cambria"/>
              <w:sz w:val="21"/>
              <w:szCs w:val="21"/>
            </w:rPr>
            <w:fldChar w:fldCharType="separate"/>
          </w:r>
          <w:r>
            <w:rPr>
              <w:rFonts w:hint="default" w:ascii="Cambria" w:hAnsi="Cambria" w:eastAsia="宋体" w:cs="Cambria"/>
              <w:sz w:val="21"/>
              <w:szCs w:val="21"/>
            </w:rPr>
            <w:t>18</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2674D0B8">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_Toc9642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4 Operating procedures and requirements for oral administration of decoctions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_Toc9642 \h </w:instrText>
          </w:r>
          <w:r>
            <w:rPr>
              <w:rFonts w:hint="default" w:ascii="Cambria" w:hAnsi="Cambria" w:eastAsia="宋体" w:cs="Cambria"/>
              <w:sz w:val="21"/>
              <w:szCs w:val="21"/>
            </w:rPr>
            <w:fldChar w:fldCharType="separate"/>
          </w:r>
          <w:r>
            <w:rPr>
              <w:rFonts w:hint="default" w:ascii="Cambria" w:hAnsi="Cambria" w:eastAsia="宋体" w:cs="Cambria"/>
              <w:sz w:val="21"/>
              <w:szCs w:val="21"/>
            </w:rPr>
            <w:t>22</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FFC1591">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_Toc10885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4.1 Decocting methods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_Toc10885 \h </w:instrText>
          </w:r>
          <w:r>
            <w:rPr>
              <w:rFonts w:hint="default" w:ascii="Cambria" w:hAnsi="Cambria" w:eastAsia="宋体" w:cs="Cambria"/>
              <w:sz w:val="21"/>
              <w:szCs w:val="21"/>
            </w:rPr>
            <w:fldChar w:fldCharType="separate"/>
          </w:r>
          <w:r>
            <w:rPr>
              <w:rFonts w:hint="default" w:ascii="Cambria" w:hAnsi="Cambria" w:eastAsia="宋体" w:cs="Cambria"/>
              <w:sz w:val="21"/>
              <w:szCs w:val="21"/>
            </w:rPr>
            <w:t>22</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50175F5">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_Toc29010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4.2</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Methods for administering decoctions in pediatric practice</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_Toc29010 \h </w:instrText>
          </w:r>
          <w:r>
            <w:rPr>
              <w:rFonts w:hint="default" w:ascii="Cambria" w:hAnsi="Cambria" w:eastAsia="宋体" w:cs="Cambria"/>
              <w:sz w:val="21"/>
              <w:szCs w:val="21"/>
            </w:rPr>
            <w:fldChar w:fldCharType="separate"/>
          </w:r>
          <w:r>
            <w:rPr>
              <w:rFonts w:hint="default" w:ascii="Cambria" w:hAnsi="Cambria" w:eastAsia="宋体" w:cs="Cambria"/>
              <w:sz w:val="21"/>
              <w:szCs w:val="21"/>
            </w:rPr>
            <w:t>24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5FE8818">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_Toc30079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5 Operating procedures and requirements for oral administration of Chinese patent medicines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_Toc30079 \h </w:instrText>
          </w:r>
          <w:r>
            <w:rPr>
              <w:rFonts w:hint="default" w:ascii="Cambria" w:hAnsi="Cambria" w:eastAsia="宋体" w:cs="Cambria"/>
              <w:sz w:val="21"/>
              <w:szCs w:val="21"/>
            </w:rPr>
            <w:fldChar w:fldCharType="separate"/>
          </w:r>
          <w:r>
            <w:rPr>
              <w:rFonts w:hint="default" w:ascii="Cambria" w:hAnsi="Cambria" w:eastAsia="宋体" w:cs="Cambria"/>
              <w:sz w:val="21"/>
              <w:szCs w:val="21"/>
            </w:rPr>
            <w:t>26</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43BABA68">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_Toc5418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5.1</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Preparation before administration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_Toc5418 \h </w:instrText>
          </w:r>
          <w:r>
            <w:rPr>
              <w:rFonts w:hint="default" w:ascii="Cambria" w:hAnsi="Cambria" w:eastAsia="宋体" w:cs="Cambria"/>
              <w:sz w:val="21"/>
              <w:szCs w:val="21"/>
            </w:rPr>
            <w:fldChar w:fldCharType="separate"/>
          </w:r>
          <w:r>
            <w:rPr>
              <w:rFonts w:hint="default" w:ascii="Cambria" w:hAnsi="Cambria" w:eastAsia="宋体" w:cs="Cambria"/>
              <w:sz w:val="21"/>
              <w:szCs w:val="21"/>
            </w:rPr>
            <w:t>26</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60E9200">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_Toc20420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5.2</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Methods of administration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_Toc20420 \h </w:instrText>
          </w:r>
          <w:r>
            <w:rPr>
              <w:rFonts w:hint="default" w:ascii="Cambria" w:hAnsi="Cambria" w:eastAsia="宋体" w:cs="Cambria"/>
              <w:sz w:val="21"/>
              <w:szCs w:val="21"/>
            </w:rPr>
            <w:fldChar w:fldCharType="separate"/>
          </w:r>
          <w:r>
            <w:rPr>
              <w:rFonts w:hint="default" w:ascii="Cambria" w:hAnsi="Cambria" w:eastAsia="宋体" w:cs="Cambria"/>
              <w:sz w:val="21"/>
              <w:szCs w:val="21"/>
            </w:rPr>
            <w:t>26</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261C6568">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_Toc14487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6 Operating procedures and requirements for nasogastric gavage administration of Chinese medicines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_Toc14487 \h </w:instrText>
          </w:r>
          <w:r>
            <w:rPr>
              <w:rFonts w:hint="default" w:ascii="Cambria" w:hAnsi="Cambria" w:eastAsia="宋体" w:cs="Cambria"/>
              <w:sz w:val="21"/>
              <w:szCs w:val="21"/>
            </w:rPr>
            <w:fldChar w:fldCharType="separate"/>
          </w:r>
          <w:r>
            <w:rPr>
              <w:rFonts w:hint="default" w:ascii="Cambria" w:hAnsi="Cambria" w:eastAsia="宋体" w:cs="Cambria"/>
              <w:sz w:val="21"/>
              <w:szCs w:val="21"/>
            </w:rPr>
            <w:t>30</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76EE5576">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_Toc17387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6.1</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Preparation before operation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_Toc17387 \h </w:instrText>
          </w:r>
          <w:r>
            <w:rPr>
              <w:rFonts w:hint="default" w:ascii="Cambria" w:hAnsi="Cambria" w:eastAsia="宋体" w:cs="Cambria"/>
              <w:sz w:val="21"/>
              <w:szCs w:val="21"/>
            </w:rPr>
            <w:fldChar w:fldCharType="separate"/>
          </w:r>
          <w:r>
            <w:rPr>
              <w:rFonts w:hint="default" w:ascii="Cambria" w:hAnsi="Cambria" w:eastAsia="宋体" w:cs="Cambria"/>
              <w:sz w:val="21"/>
              <w:szCs w:val="21"/>
            </w:rPr>
            <w:t>30</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4567F57D">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_Toc24945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6.2</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Operating methods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_Toc24945 \h </w:instrText>
          </w:r>
          <w:r>
            <w:rPr>
              <w:rFonts w:hint="default" w:ascii="Cambria" w:hAnsi="Cambria" w:eastAsia="宋体" w:cs="Cambria"/>
              <w:sz w:val="21"/>
              <w:szCs w:val="21"/>
            </w:rPr>
            <w:fldChar w:fldCharType="separate"/>
          </w:r>
          <w:r>
            <w:rPr>
              <w:rFonts w:hint="default" w:ascii="Cambria" w:hAnsi="Cambria" w:eastAsia="宋体" w:cs="Cambria"/>
              <w:sz w:val="21"/>
              <w:szCs w:val="21"/>
            </w:rPr>
            <w:t>31</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22232029">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_Toc22411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7</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Operating procedures and requirements for rectal administration of Chinese medicines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_Toc22411 \h </w:instrText>
          </w:r>
          <w:r>
            <w:rPr>
              <w:rFonts w:hint="default" w:ascii="Cambria" w:hAnsi="Cambria" w:eastAsia="宋体" w:cs="Cambria"/>
              <w:sz w:val="21"/>
              <w:szCs w:val="21"/>
            </w:rPr>
            <w:fldChar w:fldCharType="separate"/>
          </w:r>
          <w:r>
            <w:rPr>
              <w:rFonts w:hint="default" w:ascii="Cambria" w:hAnsi="Cambria" w:eastAsia="宋体" w:cs="Cambria"/>
              <w:sz w:val="21"/>
              <w:szCs w:val="21"/>
            </w:rPr>
            <w:t>34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7BC342B0">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_Toc8618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7.1</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Preparation before operation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_Toc8618 \h </w:instrText>
          </w:r>
          <w:r>
            <w:rPr>
              <w:rFonts w:hint="default" w:ascii="Cambria" w:hAnsi="Cambria" w:eastAsia="宋体" w:cs="Cambria"/>
              <w:sz w:val="21"/>
              <w:szCs w:val="21"/>
            </w:rPr>
            <w:fldChar w:fldCharType="separate"/>
          </w:r>
          <w:r>
            <w:rPr>
              <w:rFonts w:hint="default" w:ascii="Cambria" w:hAnsi="Cambria" w:eastAsia="宋体" w:cs="Cambria"/>
              <w:sz w:val="21"/>
              <w:szCs w:val="21"/>
            </w:rPr>
            <w:t>34</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11592C0F">
          <w:pPr>
            <w:pStyle w:val="10"/>
            <w:tabs>
              <w:tab w:val="right" w:leader="dot" w:pos="8640"/>
              <w:tab w:val="clear" w:pos="863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_Toc13493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7.2</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Operating methods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_Toc13493 \h </w:instrText>
          </w:r>
          <w:r>
            <w:rPr>
              <w:rFonts w:hint="default" w:ascii="Cambria" w:hAnsi="Cambria" w:eastAsia="宋体" w:cs="Cambria"/>
              <w:sz w:val="21"/>
              <w:szCs w:val="21"/>
            </w:rPr>
            <w:fldChar w:fldCharType="separate"/>
          </w:r>
          <w:r>
            <w:rPr>
              <w:rFonts w:hint="default" w:ascii="Cambria" w:hAnsi="Cambria" w:eastAsia="宋体" w:cs="Cambria"/>
              <w:sz w:val="21"/>
              <w:szCs w:val="21"/>
            </w:rPr>
            <w:t>36</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1B69A30B">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_Toc848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8</w:t>
          </w:r>
          <w:r>
            <w:rPr>
              <w:rFonts w:hint="default" w:ascii="Cambria" w:hAnsi="Cambria" w:eastAsia="宋体" w:cs="Cambria"/>
              <w:bCs/>
              <w:sz w:val="21"/>
              <w:szCs w:val="21"/>
              <w:lang w:val="en-US" w:eastAsia="zh-CN"/>
            </w:rPr>
            <w:t xml:space="preserve"> </w:t>
          </w:r>
          <w:r>
            <w:rPr>
              <w:rFonts w:hint="default" w:ascii="Cambria" w:hAnsi="Cambria" w:eastAsia="宋体" w:cs="Cambria"/>
              <w:bCs/>
              <w:sz w:val="21"/>
              <w:szCs w:val="21"/>
            </w:rPr>
            <w:t>Precautions and contraindications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_Toc848 \h </w:instrText>
          </w:r>
          <w:r>
            <w:rPr>
              <w:rFonts w:hint="default" w:ascii="Cambria" w:hAnsi="Cambria" w:eastAsia="宋体" w:cs="Cambria"/>
              <w:sz w:val="21"/>
              <w:szCs w:val="21"/>
            </w:rPr>
            <w:fldChar w:fldCharType="separate"/>
          </w:r>
          <w:r>
            <w:rPr>
              <w:rFonts w:hint="default" w:ascii="Cambria" w:hAnsi="Cambria" w:eastAsia="宋体" w:cs="Cambria"/>
              <w:sz w:val="21"/>
              <w:szCs w:val="21"/>
            </w:rPr>
            <w:t>37</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3F9B944">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_Toc11383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Annex A</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_Toc11660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(informative)</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_Toc16998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Precautions for internal administration in TCM pediatrics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_Toc16998 \h </w:instrText>
          </w:r>
          <w:r>
            <w:rPr>
              <w:rFonts w:hint="default" w:ascii="Cambria" w:hAnsi="Cambria" w:eastAsia="宋体" w:cs="Cambria"/>
              <w:sz w:val="21"/>
              <w:szCs w:val="21"/>
            </w:rPr>
            <w:fldChar w:fldCharType="separate"/>
          </w:r>
          <w:r>
            <w:rPr>
              <w:rFonts w:hint="default" w:ascii="Cambria" w:hAnsi="Cambria" w:eastAsia="宋体" w:cs="Cambria"/>
              <w:sz w:val="21"/>
              <w:szCs w:val="21"/>
            </w:rPr>
            <w:t>38</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0CABF783">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_Toc21116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Annex B</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_Toc12667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(informative)</w:t>
          </w:r>
          <w:r>
            <w:rPr>
              <w:rFonts w:hint="default" w:ascii="Cambria" w:hAnsi="Cambria" w:eastAsia="宋体" w:cs="Cambria"/>
              <w:bCs/>
              <w:kern w:val="2"/>
              <w:sz w:val="21"/>
              <w:szCs w:val="21"/>
              <w:lang w:val="zh-CN" w:eastAsia="zh-CN" w:bidi="ar-SA"/>
            </w:rPr>
            <w:fldChar w:fldCharType="end"/>
          </w: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_Toc13610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Contraindications for internal administration in TCM pediatrics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_Toc13610 \h </w:instrText>
          </w:r>
          <w:r>
            <w:rPr>
              <w:rFonts w:hint="default" w:ascii="Cambria" w:hAnsi="Cambria" w:eastAsia="宋体" w:cs="Cambria"/>
              <w:sz w:val="21"/>
              <w:szCs w:val="21"/>
            </w:rPr>
            <w:fldChar w:fldCharType="separate"/>
          </w:r>
          <w:r>
            <w:rPr>
              <w:rFonts w:hint="default" w:ascii="Cambria" w:hAnsi="Cambria" w:eastAsia="宋体" w:cs="Cambria"/>
              <w:sz w:val="21"/>
              <w:szCs w:val="21"/>
            </w:rPr>
            <w:t>40</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670F3021">
          <w:pPr>
            <w:pStyle w:val="9"/>
            <w:tabs>
              <w:tab w:val="right" w:leader="dot" w:pos="8640"/>
            </w:tabs>
            <w:rPr>
              <w:rFonts w:hint="default" w:ascii="Cambria" w:hAnsi="Cambria" w:eastAsia="宋体" w:cs="Cambria"/>
              <w:sz w:val="21"/>
              <w:szCs w:val="21"/>
            </w:rPr>
          </w:pPr>
          <w:r>
            <w:rPr>
              <w:rFonts w:hint="default" w:ascii="Cambria" w:hAnsi="Cambria" w:eastAsia="宋体" w:cs="Cambria"/>
              <w:bCs/>
              <w:kern w:val="2"/>
              <w:sz w:val="21"/>
              <w:szCs w:val="21"/>
              <w:lang w:val="zh-CN" w:eastAsia="zh-CN" w:bidi="ar-SA"/>
            </w:rPr>
            <w:fldChar w:fldCharType="begin"/>
          </w:r>
          <w:r>
            <w:rPr>
              <w:rFonts w:hint="default" w:ascii="Cambria" w:hAnsi="Cambria" w:eastAsia="宋体" w:cs="Cambria"/>
              <w:bCs/>
              <w:kern w:val="2"/>
              <w:sz w:val="21"/>
              <w:szCs w:val="21"/>
              <w:lang w:val="zh-CN" w:eastAsia="zh-CN" w:bidi="ar-SA"/>
            </w:rPr>
            <w:instrText xml:space="preserve"> HYPERLINK \l _Toc7366 </w:instrText>
          </w:r>
          <w:r>
            <w:rPr>
              <w:rFonts w:hint="default" w:ascii="Cambria" w:hAnsi="Cambria" w:eastAsia="宋体" w:cs="Cambria"/>
              <w:bCs/>
              <w:kern w:val="2"/>
              <w:sz w:val="21"/>
              <w:szCs w:val="21"/>
              <w:lang w:val="zh-CN" w:eastAsia="zh-CN" w:bidi="ar-SA"/>
            </w:rPr>
            <w:fldChar w:fldCharType="separate"/>
          </w:r>
          <w:r>
            <w:rPr>
              <w:rFonts w:hint="default" w:ascii="Cambria" w:hAnsi="Cambria" w:eastAsia="宋体" w:cs="Cambria"/>
              <w:bCs/>
              <w:sz w:val="21"/>
              <w:szCs w:val="21"/>
            </w:rPr>
            <w:t>Bibliography</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_Toc7366 \h </w:instrText>
          </w:r>
          <w:r>
            <w:rPr>
              <w:rFonts w:hint="default" w:ascii="Cambria" w:hAnsi="Cambria" w:eastAsia="宋体" w:cs="Cambria"/>
              <w:sz w:val="21"/>
              <w:szCs w:val="21"/>
            </w:rPr>
            <w:fldChar w:fldCharType="separate"/>
          </w:r>
          <w:r>
            <w:rPr>
              <w:rFonts w:hint="default" w:ascii="Cambria" w:hAnsi="Cambria" w:eastAsia="宋体" w:cs="Cambria"/>
              <w:sz w:val="21"/>
              <w:szCs w:val="21"/>
            </w:rPr>
            <w:t>41</w:t>
          </w:r>
          <w:r>
            <w:rPr>
              <w:rFonts w:hint="default" w:ascii="Cambria" w:hAnsi="Cambria" w:eastAsia="宋体" w:cs="Cambria"/>
              <w:sz w:val="21"/>
              <w:szCs w:val="21"/>
            </w:rPr>
            <w:fldChar w:fldCharType="end"/>
          </w:r>
          <w:r>
            <w:rPr>
              <w:rFonts w:hint="default" w:ascii="Cambria" w:hAnsi="Cambria" w:eastAsia="宋体" w:cs="Cambria"/>
              <w:bCs/>
              <w:kern w:val="2"/>
              <w:sz w:val="21"/>
              <w:szCs w:val="21"/>
              <w:lang w:val="zh-CN" w:eastAsia="zh-CN" w:bidi="ar-SA"/>
            </w:rPr>
            <w:fldChar w:fldCharType="end"/>
          </w:r>
        </w:p>
        <w:p w14:paraId="5FF8B177">
          <w:pPr>
            <w:spacing w:line="276" w:lineRule="auto"/>
            <w:rPr>
              <w:rFonts w:ascii="Cambria" w:hAnsi="Cambria" w:eastAsia="宋体" w:cs="Times New Roman"/>
              <w:bCs/>
              <w:kern w:val="2"/>
              <w:sz w:val="21"/>
              <w:szCs w:val="18"/>
              <w:lang w:val="zh-CN" w:eastAsia="zh-CN" w:bidi="ar-SA"/>
            </w:rPr>
          </w:pPr>
          <w:r>
            <w:rPr>
              <w:rFonts w:hint="default" w:ascii="Cambria" w:hAnsi="Cambria" w:eastAsia="宋体" w:cs="Cambria"/>
              <w:bCs/>
              <w:kern w:val="2"/>
              <w:sz w:val="21"/>
              <w:szCs w:val="21"/>
              <w:lang w:val="zh-CN" w:eastAsia="zh-CN" w:bidi="ar-SA"/>
            </w:rPr>
            <w:fldChar w:fldCharType="end"/>
          </w:r>
        </w:p>
      </w:sdtContent>
    </w:sdt>
    <w:p w14:paraId="6DDDDBB5">
      <w:pPr>
        <w:spacing w:line="276" w:lineRule="auto"/>
        <w:rPr>
          <w:rFonts w:ascii="Cambria" w:hAnsi="Cambria"/>
          <w:sz w:val="24"/>
        </w:rPr>
        <w:sectPr>
          <w:headerReference r:id="rId5" w:type="first"/>
          <w:headerReference r:id="rId3" w:type="default"/>
          <w:headerReference r:id="rId4" w:type="even"/>
          <w:pgSz w:w="12240" w:h="15840"/>
          <w:pgMar w:top="1440" w:right="1800" w:bottom="1440" w:left="1800" w:header="720" w:footer="720" w:gutter="0"/>
          <w:pgNumType w:fmt="numberInDash" w:start="1"/>
          <w:cols w:space="720" w:num="1"/>
          <w:titlePg/>
          <w:docGrid w:linePitch="286" w:charSpace="0"/>
        </w:sectPr>
      </w:pPr>
      <w:r>
        <w:rPr>
          <w:rFonts w:hint="eastAsia" w:ascii="Cambria" w:hAnsi="Cambria"/>
          <w:sz w:val="24"/>
        </w:rPr>
        <w:t xml:space="preserve"> </w:t>
      </w:r>
    </w:p>
    <w:p w14:paraId="7342A5F6">
      <w:pPr>
        <w:spacing w:before="287" w:beforeLines="100" w:after="287" w:afterLines="100" w:line="276" w:lineRule="auto"/>
        <w:jc w:val="center"/>
        <w:outlineLvl w:val="0"/>
        <w:rPr>
          <w:rFonts w:ascii="Cambria" w:hAnsi="Cambria"/>
          <w:sz w:val="32"/>
        </w:rPr>
      </w:pPr>
      <w:bookmarkStart w:id="0" w:name="_Toc22307"/>
      <w:bookmarkStart w:id="1" w:name="_Toc396730187"/>
      <w:r>
        <w:rPr>
          <w:rFonts w:ascii="Cambria" w:hAnsi="Cambria" w:eastAsia="黑体" w:cs="宋体"/>
          <w:sz w:val="32"/>
          <w:szCs w:val="30"/>
        </w:rPr>
        <w:t>前</w:t>
      </w:r>
      <w:r>
        <w:rPr>
          <w:rFonts w:hint="eastAsia" w:ascii="Cambria" w:hAnsi="Cambria" w:eastAsia="黑体" w:cs="宋体"/>
          <w:sz w:val="32"/>
          <w:szCs w:val="30"/>
        </w:rPr>
        <w:t xml:space="preserve">  </w:t>
      </w:r>
      <w:r>
        <w:rPr>
          <w:rFonts w:ascii="Cambria" w:hAnsi="Cambria" w:eastAsia="黑体" w:cs="宋体"/>
          <w:sz w:val="32"/>
          <w:szCs w:val="30"/>
        </w:rPr>
        <w:t>言</w:t>
      </w:r>
      <w:bookmarkEnd w:id="0"/>
      <w:bookmarkEnd w:id="1"/>
    </w:p>
    <w:p w14:paraId="5EE5CE45">
      <w:pPr>
        <w:pStyle w:val="41"/>
        <w:spacing w:line="276" w:lineRule="auto"/>
        <w:rPr>
          <w:rFonts w:hint="eastAsia" w:ascii="宋体" w:hAnsi="宋体"/>
          <w:szCs w:val="18"/>
        </w:rPr>
      </w:pPr>
      <w:r>
        <w:rPr>
          <w:rFonts w:hint="eastAsia" w:ascii="宋体" w:hAnsi="宋体"/>
          <w:szCs w:val="18"/>
        </w:rPr>
        <w:t>本文件为《国际中医技术操作规范</w:t>
      </w:r>
      <w:r>
        <w:rPr>
          <w:rFonts w:hint="eastAsia" w:ascii="宋体" w:hAnsi="宋体"/>
          <w:szCs w:val="18"/>
          <w:lang w:val="en-US" w:eastAsia="zh-CN"/>
        </w:rPr>
        <w:t xml:space="preserve"> </w:t>
      </w:r>
      <w:r>
        <w:rPr>
          <w:rFonts w:hint="eastAsia" w:ascii="宋体" w:hAnsi="宋体"/>
          <w:szCs w:val="18"/>
        </w:rPr>
        <w:t>儿科》的第1部分。《国际中医技术操作规范</w:t>
      </w:r>
      <w:r>
        <w:rPr>
          <w:rFonts w:hint="eastAsia" w:ascii="宋体" w:hAnsi="宋体"/>
          <w:szCs w:val="18"/>
          <w:lang w:val="en-US" w:eastAsia="zh-CN"/>
        </w:rPr>
        <w:t xml:space="preserve"> </w:t>
      </w:r>
      <w:r>
        <w:rPr>
          <w:rFonts w:hint="eastAsia" w:ascii="宋体" w:hAnsi="宋体"/>
          <w:szCs w:val="18"/>
        </w:rPr>
        <w:t>儿科》已经发布了以下部分：</w:t>
      </w:r>
    </w:p>
    <w:p w14:paraId="3127094E">
      <w:pPr>
        <w:pStyle w:val="41"/>
        <w:spacing w:line="276" w:lineRule="auto"/>
        <w:rPr>
          <w:rFonts w:hint="eastAsia" w:ascii="宋体" w:hAnsi="宋体"/>
          <w:szCs w:val="18"/>
        </w:rPr>
      </w:pPr>
      <w:r>
        <w:rPr>
          <w:rFonts w:hint="eastAsia" w:ascii="宋体" w:hAnsi="宋体"/>
          <w:szCs w:val="18"/>
        </w:rPr>
        <w:t>——第1部分：小儿内治给药方法</w:t>
      </w:r>
    </w:p>
    <w:p w14:paraId="419CBFD1">
      <w:pPr>
        <w:pStyle w:val="41"/>
        <w:spacing w:line="276" w:lineRule="auto"/>
        <w:rPr>
          <w:rFonts w:hint="eastAsia" w:ascii="宋体" w:hAnsi="宋体"/>
          <w:szCs w:val="18"/>
        </w:rPr>
      </w:pPr>
      <w:r>
        <w:rPr>
          <w:rFonts w:hint="eastAsia" w:ascii="宋体" w:hAnsi="宋体"/>
          <w:szCs w:val="18"/>
        </w:rPr>
        <w:t>——第2部分：小儿常用外治法</w:t>
      </w:r>
    </w:p>
    <w:p w14:paraId="35777D88">
      <w:pPr>
        <w:pStyle w:val="41"/>
        <w:spacing w:line="276" w:lineRule="auto"/>
        <w:rPr>
          <w:rFonts w:hint="eastAsia" w:ascii="宋体" w:hAnsi="宋体"/>
          <w:szCs w:val="18"/>
        </w:rPr>
      </w:pPr>
      <w:r>
        <w:rPr>
          <w:rFonts w:hint="eastAsia" w:ascii="宋体" w:hAnsi="宋体"/>
          <w:szCs w:val="18"/>
        </w:rPr>
        <w:t>——第3部分：小儿针灸疗法</w:t>
      </w:r>
    </w:p>
    <w:p w14:paraId="4417A49F">
      <w:pPr>
        <w:pStyle w:val="41"/>
        <w:spacing w:line="276" w:lineRule="auto"/>
        <w:rPr>
          <w:rFonts w:hint="eastAsia" w:ascii="宋体" w:hAnsi="宋体"/>
          <w:szCs w:val="18"/>
        </w:rPr>
      </w:pPr>
      <w:r>
        <w:rPr>
          <w:rFonts w:hint="eastAsia" w:ascii="宋体" w:hAnsi="宋体"/>
          <w:szCs w:val="18"/>
        </w:rPr>
        <w:t xml:space="preserve">——第4部分：小儿推拿疗法 </w:t>
      </w:r>
    </w:p>
    <w:p w14:paraId="5A1335E9">
      <w:pPr>
        <w:pStyle w:val="41"/>
        <w:spacing w:line="276" w:lineRule="auto"/>
        <w:rPr>
          <w:rFonts w:hint="eastAsia" w:ascii="宋体" w:hAnsi="宋体"/>
          <w:szCs w:val="18"/>
        </w:rPr>
      </w:pPr>
      <w:r>
        <w:rPr>
          <w:rFonts w:hint="eastAsia" w:ascii="宋体" w:hAnsi="宋体"/>
          <w:szCs w:val="18"/>
        </w:rPr>
        <w:t>——第5部分：小儿</w:t>
      </w:r>
      <w:r>
        <w:rPr>
          <w:rFonts w:ascii="宋体" w:hAnsi="宋体"/>
          <w:szCs w:val="18"/>
        </w:rPr>
        <w:t>拔罐</w:t>
      </w:r>
      <w:r>
        <w:rPr>
          <w:rFonts w:hint="eastAsia" w:ascii="宋体" w:hAnsi="宋体"/>
          <w:szCs w:val="18"/>
        </w:rPr>
        <w:t>疗法</w:t>
      </w:r>
    </w:p>
    <w:p w14:paraId="2E0816CB">
      <w:pPr>
        <w:pStyle w:val="41"/>
        <w:spacing w:line="276" w:lineRule="auto"/>
        <w:ind w:left="840" w:leftChars="200" w:hanging="420" w:hangingChars="200"/>
        <w:rPr>
          <w:rFonts w:hint="eastAsia" w:ascii="宋体" w:hAnsi="宋体"/>
          <w:szCs w:val="18"/>
        </w:rPr>
      </w:pPr>
      <w:r>
        <w:rPr>
          <w:rFonts w:hint="eastAsia" w:ascii="宋体" w:hAnsi="宋体"/>
          <w:szCs w:val="18"/>
        </w:rPr>
        <w:t>本文件无相关被替代、废止的文件。</w:t>
      </w:r>
    </w:p>
    <w:p w14:paraId="075F39D9">
      <w:pPr>
        <w:pStyle w:val="41"/>
        <w:spacing w:line="276" w:lineRule="auto"/>
        <w:rPr>
          <w:rFonts w:hint="eastAsia" w:ascii="宋体" w:hAnsi="宋体"/>
          <w:szCs w:val="18"/>
        </w:rPr>
      </w:pPr>
      <w:r>
        <w:rPr>
          <w:rFonts w:hint="eastAsia" w:ascii="宋体" w:hAnsi="宋体"/>
          <w:szCs w:val="18"/>
        </w:rPr>
        <w:t>本文件制订以中华人民共和国国家标准（指导性技术文件）《GB/Z 40893.1-2021 中医技术操作规范</w:t>
      </w:r>
      <w:r>
        <w:rPr>
          <w:rFonts w:hint="eastAsia" w:ascii="宋体" w:hAnsi="宋体"/>
          <w:szCs w:val="18"/>
          <w:lang w:val="en-US" w:eastAsia="zh-CN"/>
        </w:rPr>
        <w:t xml:space="preserve"> </w:t>
      </w:r>
      <w:r>
        <w:rPr>
          <w:rFonts w:hint="eastAsia" w:ascii="宋体" w:hAnsi="宋体"/>
          <w:szCs w:val="18"/>
        </w:rPr>
        <w:t>儿科</w:t>
      </w:r>
      <w:r>
        <w:rPr>
          <w:rFonts w:hint="eastAsia" w:ascii="宋体" w:hAnsi="宋体"/>
          <w:szCs w:val="18"/>
          <w:lang w:val="en-US" w:eastAsia="zh-CN"/>
        </w:rPr>
        <w:t xml:space="preserve"> </w:t>
      </w:r>
      <w:r>
        <w:rPr>
          <w:rFonts w:hint="eastAsia" w:ascii="宋体" w:hAnsi="宋体"/>
          <w:szCs w:val="18"/>
        </w:rPr>
        <w:t>第1部分：小儿内治给药方法》为基础转化形成。</w:t>
      </w:r>
    </w:p>
    <w:p w14:paraId="6B3AF3F9">
      <w:pPr>
        <w:pStyle w:val="41"/>
        <w:spacing w:line="276" w:lineRule="auto"/>
        <w:rPr>
          <w:rFonts w:hint="eastAsia" w:ascii="宋体" w:hAnsi="宋体"/>
          <w:szCs w:val="18"/>
        </w:rPr>
      </w:pPr>
      <w:r>
        <w:rPr>
          <w:rFonts w:hint="eastAsia" w:ascii="宋体" w:hAnsi="宋体"/>
          <w:szCs w:val="18"/>
        </w:rPr>
        <w:t>请注意本文件的某些内容可能涉及专利。本文件的发布机构不承担识别专利的责任。</w:t>
      </w:r>
    </w:p>
    <w:p w14:paraId="4FAE95DC">
      <w:pPr>
        <w:spacing w:line="276" w:lineRule="auto"/>
        <w:ind w:firstLine="420" w:firstLineChars="200"/>
        <w:rPr>
          <w:rFonts w:hint="eastAsia" w:ascii="Cambria" w:hAnsi="Cambria" w:eastAsia="宋体"/>
          <w:szCs w:val="18"/>
          <w:lang w:eastAsia="zh-CN"/>
        </w:rPr>
      </w:pPr>
      <w:r>
        <w:rPr>
          <w:rFonts w:ascii="Cambria" w:hAnsi="Cambria"/>
          <w:szCs w:val="18"/>
        </w:rPr>
        <w:t>主要起草单位：</w:t>
      </w:r>
      <w:r>
        <w:rPr>
          <w:rFonts w:hint="eastAsia" w:ascii="Cambria" w:hAnsi="Cambria"/>
          <w:szCs w:val="18"/>
        </w:rPr>
        <w:t>南京中医药大学附属医院</w:t>
      </w:r>
      <w:r>
        <w:rPr>
          <w:rFonts w:hint="eastAsia" w:ascii="Cambria" w:hAnsi="Cambria"/>
          <w:szCs w:val="18"/>
          <w:lang w:eastAsia="zh-CN"/>
        </w:rPr>
        <w:t>。</w:t>
      </w:r>
    </w:p>
    <w:p w14:paraId="77B8033E">
      <w:pPr>
        <w:spacing w:line="276" w:lineRule="auto"/>
        <w:ind w:firstLine="420" w:firstLineChars="200"/>
        <w:rPr>
          <w:rFonts w:ascii="Cambria" w:hAnsi="Cambria"/>
          <w:szCs w:val="18"/>
        </w:rPr>
      </w:pPr>
      <w:r>
        <w:rPr>
          <w:rFonts w:ascii="Cambria" w:hAnsi="Cambria"/>
          <w:szCs w:val="18"/>
        </w:rPr>
        <w:t>参与起草的单位：</w:t>
      </w:r>
      <w:r>
        <w:rPr>
          <w:rFonts w:hint="eastAsia" w:ascii="Cambria" w:hAnsi="Cambria" w:cs="Cambria"/>
        </w:rPr>
        <w:t>无锡市中医医院</w:t>
      </w:r>
      <w:r>
        <w:rPr>
          <w:rFonts w:hint="eastAsia" w:ascii="Cambria" w:hAnsi="Cambria" w:cs="Cambria"/>
          <w:lang w:eastAsia="zh-CN"/>
        </w:rPr>
        <w:t>、</w:t>
      </w:r>
      <w:r>
        <w:rPr>
          <w:rFonts w:hint="eastAsia" w:ascii="Cambria" w:hAnsi="Cambria" w:cs="Cambria"/>
        </w:rPr>
        <w:t>南京市浦口区中医院，</w:t>
      </w:r>
      <w:r>
        <w:rPr>
          <w:rFonts w:hint="eastAsia" w:ascii="Cambria" w:hAnsi="Cambria"/>
          <w:szCs w:val="18"/>
        </w:rPr>
        <w:t>新加坡中医研究院，马来西亚柔佛慈善中医院，澳大利亚奋进自然健康学院，厦门长庚医院。</w:t>
      </w:r>
      <w:r>
        <w:rPr>
          <w:rFonts w:ascii="Cambria" w:hAnsi="Cambria"/>
          <w:szCs w:val="18"/>
        </w:rPr>
        <w:t xml:space="preserve"> </w:t>
      </w:r>
    </w:p>
    <w:p w14:paraId="6961580F">
      <w:pPr>
        <w:spacing w:line="276" w:lineRule="auto"/>
        <w:ind w:firstLine="420" w:firstLineChars="200"/>
        <w:rPr>
          <w:rFonts w:ascii="Cambria" w:hAnsi="Cambria"/>
          <w:szCs w:val="18"/>
        </w:rPr>
      </w:pPr>
      <w:r>
        <w:rPr>
          <w:rFonts w:ascii="Cambria" w:hAnsi="Cambria"/>
          <w:szCs w:val="18"/>
        </w:rPr>
        <w:t>主要起草人：</w:t>
      </w:r>
    </w:p>
    <w:p w14:paraId="567C1F13">
      <w:pPr>
        <w:spacing w:line="276" w:lineRule="auto"/>
        <w:ind w:firstLine="840" w:firstLineChars="400"/>
        <w:rPr>
          <w:rFonts w:ascii="Cambria" w:hAnsi="Cambria"/>
          <w:szCs w:val="18"/>
        </w:rPr>
      </w:pPr>
      <w:r>
        <w:rPr>
          <w:rFonts w:hint="eastAsia" w:ascii="Cambria" w:hAnsi="Cambria"/>
          <w:szCs w:val="18"/>
        </w:rPr>
        <w:t>中    国：汪受传，张梦瑶，王雷，林丽丽，李涛，高兰英，</w:t>
      </w:r>
      <w:r>
        <w:rPr>
          <w:rFonts w:ascii="Cambria" w:hAnsi="Cambria"/>
          <w:szCs w:val="18"/>
        </w:rPr>
        <w:t>张雅婷</w:t>
      </w:r>
      <w:r>
        <w:rPr>
          <w:rFonts w:hint="eastAsia" w:ascii="Cambria" w:hAnsi="Cambria"/>
          <w:szCs w:val="18"/>
        </w:rPr>
        <w:t>（</w:t>
      </w:r>
      <w:r>
        <w:rPr>
          <w:rFonts w:ascii="Cambria" w:hAnsi="Cambria"/>
          <w:szCs w:val="18"/>
        </w:rPr>
        <w:t>中国台湾</w:t>
      </w:r>
      <w:r>
        <w:rPr>
          <w:rFonts w:hint="eastAsia" w:ascii="Cambria" w:hAnsi="Cambria"/>
          <w:szCs w:val="18"/>
        </w:rPr>
        <w:t>）</w:t>
      </w:r>
    </w:p>
    <w:p w14:paraId="72C0FDC2">
      <w:pPr>
        <w:spacing w:line="276" w:lineRule="auto"/>
        <w:ind w:firstLine="840" w:firstLineChars="400"/>
        <w:rPr>
          <w:rFonts w:ascii="Cambria" w:hAnsi="Cambria"/>
          <w:szCs w:val="18"/>
        </w:rPr>
      </w:pPr>
      <w:r>
        <w:rPr>
          <w:rFonts w:ascii="Cambria" w:hAnsi="Cambria"/>
          <w:szCs w:val="18"/>
        </w:rPr>
        <w:t>新</w:t>
      </w:r>
      <w:r>
        <w:rPr>
          <w:rFonts w:hint="eastAsia" w:ascii="Cambria" w:hAnsi="Cambria"/>
          <w:szCs w:val="18"/>
        </w:rPr>
        <w:t xml:space="preserve"> </w:t>
      </w:r>
      <w:r>
        <w:rPr>
          <w:rFonts w:ascii="Cambria" w:hAnsi="Cambria"/>
          <w:szCs w:val="18"/>
        </w:rPr>
        <w:t>加</w:t>
      </w:r>
      <w:r>
        <w:rPr>
          <w:rFonts w:hint="eastAsia" w:ascii="Cambria" w:hAnsi="Cambria"/>
          <w:szCs w:val="18"/>
        </w:rPr>
        <w:t xml:space="preserve"> </w:t>
      </w:r>
      <w:r>
        <w:rPr>
          <w:rFonts w:ascii="Cambria" w:hAnsi="Cambria"/>
          <w:szCs w:val="18"/>
        </w:rPr>
        <w:t>坡</w:t>
      </w:r>
      <w:r>
        <w:rPr>
          <w:rFonts w:hint="eastAsia" w:ascii="Cambria" w:hAnsi="Cambria"/>
          <w:szCs w:val="18"/>
        </w:rPr>
        <w:t>：</w:t>
      </w:r>
      <w:r>
        <w:rPr>
          <w:rFonts w:ascii="Cambria" w:hAnsi="Cambria"/>
          <w:szCs w:val="18"/>
        </w:rPr>
        <w:t>吴佳盛</w:t>
      </w:r>
    </w:p>
    <w:p w14:paraId="70D3DDDB">
      <w:pPr>
        <w:spacing w:line="276" w:lineRule="auto"/>
        <w:ind w:firstLine="840" w:firstLineChars="400"/>
        <w:rPr>
          <w:rFonts w:ascii="Cambria" w:hAnsi="Cambria"/>
          <w:szCs w:val="18"/>
        </w:rPr>
      </w:pPr>
      <w:r>
        <w:rPr>
          <w:rFonts w:ascii="Cambria" w:hAnsi="Cambria"/>
          <w:szCs w:val="18"/>
        </w:rPr>
        <w:t>马来西亚</w:t>
      </w:r>
      <w:r>
        <w:rPr>
          <w:rFonts w:hint="eastAsia" w:ascii="Cambria" w:hAnsi="Cambria"/>
          <w:szCs w:val="18"/>
        </w:rPr>
        <w:t>：</w:t>
      </w:r>
      <w:r>
        <w:rPr>
          <w:rFonts w:ascii="Cambria" w:hAnsi="Cambria"/>
          <w:szCs w:val="18"/>
        </w:rPr>
        <w:t>林文贤</w:t>
      </w:r>
    </w:p>
    <w:p w14:paraId="0AF3076F">
      <w:pPr>
        <w:spacing w:line="276" w:lineRule="auto"/>
        <w:ind w:firstLine="840" w:firstLineChars="400"/>
        <w:rPr>
          <w:rFonts w:ascii="Cambria" w:hAnsi="Cambria"/>
          <w:szCs w:val="18"/>
        </w:rPr>
      </w:pPr>
      <w:r>
        <w:rPr>
          <w:rFonts w:ascii="Cambria" w:hAnsi="Cambria"/>
          <w:szCs w:val="18"/>
        </w:rPr>
        <w:t>澳大利亚</w:t>
      </w:r>
      <w:r>
        <w:rPr>
          <w:rFonts w:hint="eastAsia" w:ascii="Cambria" w:hAnsi="Cambria"/>
          <w:szCs w:val="18"/>
        </w:rPr>
        <w:t>：</w:t>
      </w:r>
      <w:r>
        <w:rPr>
          <w:rFonts w:ascii="Cambria" w:hAnsi="Cambria"/>
          <w:szCs w:val="18"/>
        </w:rPr>
        <w:t>乔木林</w:t>
      </w:r>
    </w:p>
    <w:p w14:paraId="2870DDF4">
      <w:pPr>
        <w:spacing w:line="276" w:lineRule="auto"/>
        <w:ind w:firstLine="840" w:firstLineChars="400"/>
        <w:rPr>
          <w:rFonts w:ascii="Cambria" w:hAnsi="Cambria"/>
          <w:szCs w:val="18"/>
          <w:highlight w:val="yellow"/>
        </w:rPr>
      </w:pPr>
      <w:r>
        <w:rPr>
          <w:rFonts w:ascii="Cambria" w:hAnsi="Cambria"/>
          <w:szCs w:val="18"/>
        </w:rPr>
        <w:t>美</w:t>
      </w:r>
      <w:r>
        <w:rPr>
          <w:rFonts w:hint="eastAsia" w:ascii="Cambria" w:hAnsi="Cambria"/>
          <w:szCs w:val="18"/>
        </w:rPr>
        <w:t xml:space="preserve">    </w:t>
      </w:r>
      <w:r>
        <w:rPr>
          <w:rFonts w:ascii="Cambria" w:hAnsi="Cambria"/>
          <w:szCs w:val="18"/>
        </w:rPr>
        <w:t>国</w:t>
      </w:r>
      <w:r>
        <w:rPr>
          <w:rFonts w:hint="eastAsia" w:ascii="Cambria" w:hAnsi="Cambria"/>
          <w:szCs w:val="18"/>
        </w:rPr>
        <w:t>：</w:t>
      </w:r>
      <w:r>
        <w:rPr>
          <w:rFonts w:ascii="Cambria" w:hAnsi="Cambria"/>
          <w:szCs w:val="18"/>
        </w:rPr>
        <w:t>闵楷家</w:t>
      </w:r>
    </w:p>
    <w:p w14:paraId="47EBAEFC">
      <w:pPr>
        <w:spacing w:line="276" w:lineRule="auto"/>
        <w:ind w:firstLine="420" w:firstLineChars="200"/>
        <w:rPr>
          <w:rFonts w:hint="eastAsia" w:ascii="宋体" w:hAnsi="宋体"/>
          <w:szCs w:val="18"/>
        </w:rPr>
      </w:pPr>
      <w:r>
        <w:rPr>
          <w:rFonts w:hint="eastAsia" w:ascii="宋体" w:hAnsi="宋体"/>
          <w:szCs w:val="18"/>
        </w:rPr>
        <w:t>本文件的起草程序遵守了世界中医药学会联合会发布的SCM1.1-2021 《标准化工作导则第1部分：标准制修订与发布》。</w:t>
      </w:r>
    </w:p>
    <w:p w14:paraId="37A4DFE6">
      <w:pPr>
        <w:spacing w:line="276" w:lineRule="auto"/>
        <w:ind w:firstLine="420" w:firstLineChars="200"/>
        <w:rPr>
          <w:rFonts w:hint="eastAsia" w:ascii="宋体" w:hAnsi="宋体"/>
          <w:szCs w:val="18"/>
        </w:rPr>
      </w:pPr>
      <w:r>
        <w:rPr>
          <w:rFonts w:hint="eastAsia" w:ascii="宋体" w:hAnsi="宋体"/>
          <w:szCs w:val="18"/>
        </w:rPr>
        <w:t>本文件由世界中医药学会联合会翻译专业委员会承担翻译，翻译人员为***。若发生异议，以中文文本为准。</w:t>
      </w:r>
    </w:p>
    <w:p w14:paraId="4B2E590A">
      <w:pPr>
        <w:spacing w:line="276" w:lineRule="auto"/>
        <w:ind w:firstLine="420" w:firstLineChars="200"/>
        <w:rPr>
          <w:rFonts w:hint="eastAsia" w:ascii="宋体" w:hAnsi="宋体"/>
          <w:szCs w:val="18"/>
        </w:rPr>
      </w:pPr>
      <w:r>
        <w:rPr>
          <w:rFonts w:hint="eastAsia" w:ascii="宋体" w:hAnsi="宋体"/>
          <w:szCs w:val="18"/>
        </w:rPr>
        <w:t>本文件由世界中医药学会联合会发布，版权归世界中医药学会联合会所有。</w:t>
      </w:r>
    </w:p>
    <w:p w14:paraId="36EC0666">
      <w:pPr>
        <w:spacing w:line="276" w:lineRule="auto"/>
        <w:rPr>
          <w:rFonts w:ascii="Cambria" w:hAnsi="Cambria"/>
          <w:sz w:val="24"/>
        </w:rPr>
      </w:pPr>
    </w:p>
    <w:p w14:paraId="17BE3626">
      <w:pPr>
        <w:spacing w:line="276" w:lineRule="auto"/>
        <w:jc w:val="center"/>
        <w:outlineLvl w:val="0"/>
        <w:rPr>
          <w:rFonts w:ascii="Cambria" w:hAnsi="Cambria" w:eastAsia="黑体" w:cs="宋体"/>
          <w:sz w:val="32"/>
        </w:rPr>
        <w:sectPr>
          <w:footerReference r:id="rId6" w:type="default"/>
          <w:pgSz w:w="12240" w:h="15840"/>
          <w:pgMar w:top="1440" w:right="1800" w:bottom="1440" w:left="1800" w:header="720" w:footer="720" w:gutter="0"/>
          <w:pgNumType w:fmt="upperRoman" w:start="1"/>
          <w:cols w:space="720" w:num="1"/>
          <w:docGrid w:linePitch="286" w:charSpace="0"/>
        </w:sectPr>
      </w:pPr>
      <w:bookmarkStart w:id="2" w:name="_Toc396730188"/>
    </w:p>
    <w:p w14:paraId="77300108">
      <w:pPr>
        <w:spacing w:after="240" w:line="276" w:lineRule="auto"/>
        <w:jc w:val="center"/>
        <w:outlineLvl w:val="0"/>
        <w:rPr>
          <w:rFonts w:ascii="Cambria" w:hAnsi="Cambria" w:eastAsia="黑体" w:cs="宋体"/>
          <w:sz w:val="32"/>
          <w:szCs w:val="30"/>
        </w:rPr>
      </w:pPr>
      <w:bookmarkStart w:id="3" w:name="_Toc26949"/>
      <w:r>
        <w:rPr>
          <w:rFonts w:ascii="Cambria" w:hAnsi="Cambria" w:eastAsia="黑体" w:cs="宋体"/>
          <w:sz w:val="32"/>
          <w:szCs w:val="30"/>
        </w:rPr>
        <w:t>引</w:t>
      </w:r>
      <w:r>
        <w:rPr>
          <w:rFonts w:hint="eastAsia" w:ascii="Cambria" w:hAnsi="Cambria" w:eastAsia="黑体" w:cs="宋体"/>
          <w:sz w:val="32"/>
          <w:szCs w:val="30"/>
        </w:rPr>
        <w:t xml:space="preserve">  </w:t>
      </w:r>
      <w:r>
        <w:rPr>
          <w:rFonts w:ascii="Cambria" w:hAnsi="Cambria" w:eastAsia="黑体" w:cs="宋体"/>
          <w:sz w:val="32"/>
          <w:szCs w:val="30"/>
        </w:rPr>
        <w:t>言</w:t>
      </w:r>
      <w:bookmarkEnd w:id="2"/>
      <w:bookmarkEnd w:id="3"/>
    </w:p>
    <w:p w14:paraId="07A476B6">
      <w:pPr>
        <w:pStyle w:val="41"/>
        <w:spacing w:line="276" w:lineRule="auto"/>
        <w:rPr>
          <w:rFonts w:ascii="Times New Roman Regular" w:hAnsi="Times New Roman Regular" w:cs="Times New Roman Regular"/>
          <w:szCs w:val="18"/>
        </w:rPr>
      </w:pPr>
      <w:r>
        <w:rPr>
          <w:rFonts w:hint="eastAsia" w:ascii="宋体" w:hAnsi="宋体"/>
          <w:szCs w:val="18"/>
        </w:rPr>
        <w:t>随着全球范围内对中医药的认可度不断提升，中医儿科作为中医药体系的重要组成部分，其国际标准化需求日益迫切。中医儿科技术操作涵盖较多内容，经多轮论证研讨选取具有中医特色和儿科常用的治疗操作技术先行编制，</w:t>
      </w:r>
      <w:r>
        <w:rPr>
          <w:rFonts w:ascii="Times New Roman Regular" w:hAnsi="Times New Roman Regular" w:cs="Times New Roman Regular"/>
          <w:szCs w:val="18"/>
        </w:rPr>
        <w:t>并根据技术操作的形式及特点分为</w:t>
      </w:r>
      <w:r>
        <w:rPr>
          <w:rFonts w:hint="eastAsia" w:ascii="Times New Roman Regular" w:hAnsi="Times New Roman Regular" w:cs="Times New Roman Regular"/>
          <w:szCs w:val="18"/>
        </w:rPr>
        <w:t>5</w:t>
      </w:r>
      <w:r>
        <w:rPr>
          <w:rFonts w:ascii="Times New Roman Regular" w:hAnsi="Times New Roman Regular" w:cs="Times New Roman Regular"/>
          <w:szCs w:val="18"/>
        </w:rPr>
        <w:t>部分。</w:t>
      </w:r>
      <w:r>
        <w:rPr>
          <w:rFonts w:hint="eastAsia" w:ascii="Times New Roman Regular" w:hAnsi="Times New Roman Regular" w:cs="Times New Roman Regular"/>
          <w:szCs w:val="18"/>
        </w:rPr>
        <w:t>技术</w:t>
      </w:r>
      <w:r>
        <w:rPr>
          <w:rFonts w:ascii="Times New Roman Regular" w:hAnsi="Times New Roman Regular" w:cs="Times New Roman Regular"/>
          <w:szCs w:val="18"/>
        </w:rPr>
        <w:t>内容在中医儿科学术界具有广泛性、普适性，对于</w:t>
      </w:r>
      <w:r>
        <w:rPr>
          <w:rFonts w:hint="eastAsia" w:ascii="宋体" w:hAnsi="宋体"/>
          <w:szCs w:val="18"/>
        </w:rPr>
        <w:t>满足</w:t>
      </w:r>
      <w:r>
        <w:rPr>
          <w:rFonts w:ascii="Times New Roman Regular" w:hAnsi="Times New Roman Regular" w:cs="Times New Roman Regular"/>
          <w:szCs w:val="18"/>
        </w:rPr>
        <w:t>全球中医儿科医师</w:t>
      </w:r>
      <w:r>
        <w:rPr>
          <w:rFonts w:hint="eastAsia" w:ascii="宋体" w:hAnsi="宋体"/>
          <w:szCs w:val="18"/>
        </w:rPr>
        <w:t>临床</w:t>
      </w:r>
      <w:r>
        <w:rPr>
          <w:rFonts w:ascii="Times New Roman Regular" w:hAnsi="Times New Roman Regular" w:cs="Times New Roman Regular"/>
          <w:szCs w:val="18"/>
        </w:rPr>
        <w:t>学习应用</w:t>
      </w:r>
      <w:r>
        <w:rPr>
          <w:rFonts w:hint="eastAsia" w:ascii="宋体" w:hAnsi="宋体"/>
          <w:szCs w:val="18"/>
        </w:rPr>
        <w:t>的迫切需要</w:t>
      </w:r>
      <w:r>
        <w:rPr>
          <w:rFonts w:ascii="Times New Roman Regular" w:hAnsi="Times New Roman Regular" w:cs="Times New Roman Regular"/>
          <w:szCs w:val="18"/>
        </w:rPr>
        <w:t>，促进</w:t>
      </w:r>
      <w:r>
        <w:rPr>
          <w:rFonts w:hint="eastAsia" w:ascii="Times New Roman Regular" w:hAnsi="Times New Roman Regular" w:cs="Times New Roman Regular"/>
          <w:szCs w:val="18"/>
        </w:rPr>
        <w:t>世界</w:t>
      </w:r>
      <w:r>
        <w:rPr>
          <w:rFonts w:ascii="Times New Roman Regular" w:hAnsi="Times New Roman Regular" w:cs="Times New Roman Regular"/>
          <w:szCs w:val="18"/>
        </w:rPr>
        <w:t>中医儿科临床技术操作规范化</w:t>
      </w:r>
      <w:r>
        <w:rPr>
          <w:rFonts w:hint="eastAsia" w:ascii="Times New Roman Regular" w:hAnsi="Times New Roman Regular" w:cs="Times New Roman Regular"/>
          <w:szCs w:val="18"/>
        </w:rPr>
        <w:t>、标准化</w:t>
      </w:r>
      <w:r>
        <w:rPr>
          <w:rFonts w:ascii="Times New Roman Regular" w:hAnsi="Times New Roman Regular" w:cs="Times New Roman Regular"/>
          <w:szCs w:val="18"/>
        </w:rPr>
        <w:t>具有重要价值。</w:t>
      </w:r>
    </w:p>
    <w:p w14:paraId="4B6ADFAF">
      <w:pPr>
        <w:pStyle w:val="41"/>
        <w:spacing w:line="276" w:lineRule="auto"/>
        <w:rPr>
          <w:rFonts w:hint="eastAsia" w:ascii="宋体" w:hAnsi="宋体"/>
          <w:szCs w:val="18"/>
        </w:rPr>
      </w:pPr>
      <w:r>
        <w:rPr>
          <w:rFonts w:ascii="宋体" w:hAnsi="宋体"/>
          <w:szCs w:val="18"/>
        </w:rPr>
        <w:t>《</w:t>
      </w:r>
      <w:r>
        <w:rPr>
          <w:rFonts w:hint="eastAsia" w:ascii="宋体" w:hAnsi="宋体"/>
          <w:szCs w:val="18"/>
        </w:rPr>
        <w:t>国际</w:t>
      </w:r>
      <w:r>
        <w:rPr>
          <w:rFonts w:ascii="宋体" w:hAnsi="宋体"/>
          <w:szCs w:val="18"/>
        </w:rPr>
        <w:t>中医技术操作规范  儿科》系列</w:t>
      </w:r>
      <w:r>
        <w:rPr>
          <w:rFonts w:hint="eastAsia" w:ascii="宋体" w:hAnsi="宋体"/>
          <w:szCs w:val="18"/>
        </w:rPr>
        <w:t>包含了</w:t>
      </w:r>
      <w:r>
        <w:rPr>
          <w:rFonts w:ascii="宋体" w:hAnsi="宋体"/>
          <w:szCs w:val="18"/>
        </w:rPr>
        <w:t>中医儿科临床常用的技术方法，是治疗</w:t>
      </w:r>
      <w:r>
        <w:rPr>
          <w:rFonts w:hint="eastAsia" w:ascii="宋体" w:hAnsi="宋体"/>
          <w:szCs w:val="18"/>
        </w:rPr>
        <w:t>儿科</w:t>
      </w:r>
      <w:r>
        <w:rPr>
          <w:rFonts w:ascii="宋体" w:hAnsi="宋体"/>
          <w:szCs w:val="18"/>
        </w:rPr>
        <w:t>疾病、提高疗效的重要手段，包括以下</w:t>
      </w:r>
      <w:r>
        <w:rPr>
          <w:rFonts w:hint="eastAsia" w:ascii="宋体" w:hAnsi="宋体"/>
          <w:szCs w:val="18"/>
        </w:rPr>
        <w:t>5</w:t>
      </w:r>
      <w:r>
        <w:rPr>
          <w:rFonts w:ascii="宋体" w:hAnsi="宋体"/>
          <w:szCs w:val="18"/>
        </w:rPr>
        <w:t>部分：</w:t>
      </w:r>
    </w:p>
    <w:p w14:paraId="5E1425EC">
      <w:pPr>
        <w:pStyle w:val="41"/>
        <w:spacing w:line="276" w:lineRule="auto"/>
        <w:rPr>
          <w:rFonts w:hint="eastAsia" w:ascii="宋体" w:hAnsi="宋体"/>
          <w:szCs w:val="18"/>
        </w:rPr>
      </w:pPr>
      <w:r>
        <w:rPr>
          <w:rFonts w:ascii="宋体" w:hAnsi="宋体"/>
          <w:szCs w:val="18"/>
        </w:rPr>
        <w:t>——第1部分：小儿内治给药方法</w:t>
      </w:r>
    </w:p>
    <w:p w14:paraId="45FFB769">
      <w:pPr>
        <w:pStyle w:val="41"/>
        <w:spacing w:line="276" w:lineRule="auto"/>
        <w:rPr>
          <w:rFonts w:hint="eastAsia" w:ascii="宋体" w:hAnsi="宋体"/>
          <w:szCs w:val="18"/>
        </w:rPr>
      </w:pPr>
      <w:r>
        <w:rPr>
          <w:rFonts w:ascii="宋体" w:hAnsi="宋体"/>
          <w:szCs w:val="18"/>
        </w:rPr>
        <w:t>——第2部分：小儿常用外治法</w:t>
      </w:r>
    </w:p>
    <w:p w14:paraId="7E2C0777">
      <w:pPr>
        <w:pStyle w:val="41"/>
        <w:spacing w:line="276" w:lineRule="auto"/>
        <w:rPr>
          <w:rFonts w:hint="eastAsia" w:ascii="宋体" w:hAnsi="宋体"/>
          <w:szCs w:val="18"/>
        </w:rPr>
      </w:pPr>
      <w:r>
        <w:rPr>
          <w:rFonts w:ascii="宋体" w:hAnsi="宋体"/>
          <w:szCs w:val="18"/>
        </w:rPr>
        <w:t>——第3部分：小儿针灸疗法</w:t>
      </w:r>
    </w:p>
    <w:p w14:paraId="7A2755A4">
      <w:pPr>
        <w:pStyle w:val="41"/>
        <w:spacing w:line="276" w:lineRule="auto"/>
        <w:rPr>
          <w:rFonts w:hint="eastAsia" w:ascii="宋体" w:hAnsi="宋体"/>
          <w:szCs w:val="18"/>
        </w:rPr>
      </w:pPr>
      <w:r>
        <w:rPr>
          <w:rFonts w:ascii="宋体" w:hAnsi="宋体"/>
          <w:szCs w:val="18"/>
        </w:rPr>
        <w:t>——第4部分：</w:t>
      </w:r>
      <w:r>
        <w:rPr>
          <w:rFonts w:hint="eastAsia" w:ascii="宋体" w:hAnsi="宋体"/>
          <w:szCs w:val="18"/>
        </w:rPr>
        <w:t xml:space="preserve">小儿推拿疗法 </w:t>
      </w:r>
    </w:p>
    <w:p w14:paraId="520D66B1">
      <w:pPr>
        <w:pStyle w:val="41"/>
        <w:spacing w:line="276" w:lineRule="auto"/>
        <w:rPr>
          <w:rFonts w:hint="eastAsia" w:ascii="宋体" w:hAnsi="宋体"/>
          <w:szCs w:val="18"/>
        </w:rPr>
      </w:pPr>
      <w:r>
        <w:rPr>
          <w:rFonts w:hint="eastAsia" w:ascii="宋体" w:hAnsi="宋体"/>
          <w:szCs w:val="18"/>
        </w:rPr>
        <w:t>——第5部分：</w:t>
      </w:r>
      <w:r>
        <w:rPr>
          <w:rFonts w:ascii="宋体" w:hAnsi="宋体"/>
          <w:szCs w:val="18"/>
        </w:rPr>
        <w:t>小儿拔罐疗法</w:t>
      </w:r>
    </w:p>
    <w:p w14:paraId="672986B7">
      <w:pPr>
        <w:pStyle w:val="41"/>
        <w:spacing w:line="276" w:lineRule="auto"/>
        <w:rPr>
          <w:rFonts w:hint="eastAsia" w:ascii="宋体" w:hAnsi="宋体"/>
          <w:szCs w:val="18"/>
        </w:rPr>
      </w:pPr>
      <w:r>
        <w:rPr>
          <w:rFonts w:hint="eastAsia" w:ascii="宋体" w:hAnsi="宋体"/>
          <w:szCs w:val="18"/>
        </w:rPr>
        <w:t>小儿内治给药方法指通过窍道使药物进入体内的给药治疗方法。中医儿科内治给药技术主要包括口服中药汤剂、口服中成药、中药鼻饲给药法、中药直肠给药法。由于小儿服药困难、依从性差等特殊性，正确的煎药方法、喂药方法以及多途径给药是提高中医儿科治疗疾病的依从性、有效性、安全性的重要环节。</w:t>
      </w:r>
    </w:p>
    <w:p w14:paraId="3F220255">
      <w:pPr>
        <w:spacing w:line="276" w:lineRule="auto"/>
        <w:ind w:firstLine="420" w:firstLineChars="200"/>
        <w:rPr>
          <w:rFonts w:hint="eastAsia" w:ascii="宋体" w:hAnsi="宋体"/>
        </w:rPr>
      </w:pPr>
      <w:r>
        <w:rPr>
          <w:rFonts w:hint="eastAsia" w:ascii="宋体" w:hAnsi="宋体"/>
        </w:rPr>
        <w:t>本文件是在充分搜集和整理古今中医专家经验的基础上，结合目前中医儿科临床实践，征求了</w:t>
      </w:r>
      <w:r>
        <w:rPr>
          <w:rFonts w:hint="eastAsia" w:ascii="宋体" w:hAnsi="宋体"/>
          <w:lang w:eastAsia="zh-CN"/>
        </w:rPr>
        <w:t>海内外</w:t>
      </w:r>
      <w:r>
        <w:rPr>
          <w:rFonts w:hint="eastAsia" w:ascii="宋体" w:hAnsi="宋体"/>
        </w:rPr>
        <w:t>行业内著名专家意见编制而成，并且期待随着临床应用和科研的进展修订、补充，定期更新。</w:t>
      </w:r>
    </w:p>
    <w:p w14:paraId="5D96E659">
      <w:pPr>
        <w:spacing w:line="276" w:lineRule="auto"/>
        <w:ind w:firstLine="420" w:firstLineChars="200"/>
        <w:rPr>
          <w:rFonts w:hint="eastAsia" w:ascii="宋体" w:hAnsi="宋体"/>
          <w:szCs w:val="18"/>
        </w:rPr>
      </w:pPr>
      <w:r>
        <w:rPr>
          <w:rFonts w:hint="eastAsia" w:ascii="宋体" w:hAnsi="宋体"/>
          <w:szCs w:val="18"/>
        </w:rPr>
        <w:t>【重要声明】本文件所涉及鼻饲、直肠给药等侵入性操作，实施者应遵守所在国家或地区的法律法规及执业范围要求。</w:t>
      </w:r>
    </w:p>
    <w:p w14:paraId="2C2A6588">
      <w:pPr>
        <w:spacing w:line="276" w:lineRule="auto"/>
        <w:rPr>
          <w:rFonts w:ascii="Cambria" w:hAnsi="Cambria"/>
        </w:rPr>
      </w:pPr>
    </w:p>
    <w:p w14:paraId="697B44CF">
      <w:pPr>
        <w:spacing w:line="276" w:lineRule="auto"/>
        <w:rPr>
          <w:rFonts w:ascii="Cambria" w:hAnsi="Cambria"/>
        </w:rPr>
      </w:pPr>
    </w:p>
    <w:p w14:paraId="390BA71F">
      <w:pPr>
        <w:spacing w:line="276" w:lineRule="auto"/>
        <w:rPr>
          <w:rFonts w:ascii="Cambria" w:hAnsi="Cambria"/>
        </w:rPr>
      </w:pPr>
    </w:p>
    <w:p w14:paraId="0F1715A6">
      <w:pPr>
        <w:spacing w:line="276" w:lineRule="auto"/>
        <w:rPr>
          <w:rFonts w:ascii="Cambria" w:hAnsi="Cambria"/>
        </w:rPr>
      </w:pPr>
    </w:p>
    <w:p w14:paraId="03A63C6D">
      <w:pPr>
        <w:spacing w:line="276" w:lineRule="auto"/>
        <w:rPr>
          <w:rFonts w:ascii="Cambria" w:hAnsi="Cambria"/>
        </w:rPr>
        <w:sectPr>
          <w:pgSz w:w="12240" w:h="15840"/>
          <w:pgMar w:top="1440" w:right="1800" w:bottom="1440" w:left="1800" w:header="720" w:footer="720" w:gutter="0"/>
          <w:pgNumType w:fmt="upperRoman"/>
          <w:cols w:space="720" w:num="1"/>
          <w:docGrid w:linePitch="286" w:charSpace="0"/>
        </w:sectPr>
      </w:pPr>
    </w:p>
    <w:p w14:paraId="1B68E124">
      <w:pPr>
        <w:spacing w:before="312" w:beforeLines="100" w:after="312" w:afterLines="100" w:line="276" w:lineRule="auto"/>
        <w:jc w:val="center"/>
        <w:rPr>
          <w:rFonts w:ascii="Cambria" w:hAnsi="Cambria" w:eastAsia="黑体" w:cs="宋体"/>
          <w:sz w:val="28"/>
          <w:szCs w:val="24"/>
        </w:rPr>
      </w:pPr>
      <w:r>
        <w:rPr>
          <w:rFonts w:hint="eastAsia" w:ascii="Cambria" w:hAnsi="Cambria" w:eastAsia="黑体" w:cs="宋体"/>
          <w:sz w:val="28"/>
          <w:szCs w:val="24"/>
        </w:rPr>
        <w:t xml:space="preserve">国际中医技术操作规范  儿科  第1部分：小儿内治给药方法  </w:t>
      </w:r>
    </w:p>
    <w:p w14:paraId="2191D6C1">
      <w:pPr>
        <w:spacing w:before="312" w:beforeLines="100" w:after="312" w:afterLines="100" w:line="276" w:lineRule="auto"/>
        <w:outlineLvl w:val="0"/>
        <w:rPr>
          <w:rFonts w:hint="eastAsia" w:ascii="黑体" w:hAnsi="黑体" w:eastAsia="黑体" w:cs="宋体"/>
          <w:szCs w:val="18"/>
        </w:rPr>
      </w:pPr>
      <w:bookmarkStart w:id="4" w:name="_Toc24162"/>
      <w:bookmarkStart w:id="5" w:name="_Toc396730189"/>
      <w:r>
        <w:rPr>
          <w:rFonts w:ascii="黑体" w:hAnsi="黑体" w:eastAsia="黑体" w:cs="宋体"/>
          <w:szCs w:val="18"/>
        </w:rPr>
        <w:t>1</w:t>
      </w:r>
      <w:r>
        <w:rPr>
          <w:rFonts w:hint="eastAsia" w:ascii="黑体" w:hAnsi="黑体" w:eastAsia="黑体" w:cs="宋体"/>
          <w:szCs w:val="18"/>
        </w:rPr>
        <w:t xml:space="preserve"> </w:t>
      </w:r>
      <w:r>
        <w:rPr>
          <w:rFonts w:ascii="黑体" w:hAnsi="黑体" w:eastAsia="黑体" w:cs="宋体"/>
          <w:szCs w:val="18"/>
        </w:rPr>
        <w:t>范围</w:t>
      </w:r>
      <w:bookmarkEnd w:id="4"/>
      <w:bookmarkEnd w:id="5"/>
    </w:p>
    <w:p w14:paraId="72E87830">
      <w:pPr>
        <w:spacing w:line="276" w:lineRule="auto"/>
        <w:ind w:firstLine="420"/>
        <w:rPr>
          <w:rFonts w:hint="eastAsia" w:ascii="宋体" w:hAnsi="宋体"/>
        </w:rPr>
      </w:pPr>
      <w:r>
        <w:rPr>
          <w:rFonts w:hint="eastAsia" w:ascii="宋体" w:hAnsi="宋体"/>
        </w:rPr>
        <w:t>本文件</w:t>
      </w:r>
      <w:r>
        <w:rPr>
          <w:rFonts w:hint="eastAsia" w:ascii="宋体" w:hAnsi="宋体"/>
          <w:lang w:val="en-US" w:eastAsia="zh-CN"/>
        </w:rPr>
        <w:t>规定了</w:t>
      </w:r>
      <w:r>
        <w:rPr>
          <w:rFonts w:hint="eastAsia" w:ascii="宋体" w:hAnsi="宋体"/>
        </w:rPr>
        <w:t>儿科口服中药汤剂、口服中成药、中药鼻饲给药法、中药直肠给药法的操作步骤与要求，并给出了注意事项与禁忌。</w:t>
      </w:r>
    </w:p>
    <w:p w14:paraId="4DAC5AB1">
      <w:pPr>
        <w:spacing w:line="276" w:lineRule="auto"/>
        <w:ind w:firstLine="420"/>
        <w:rPr>
          <w:rFonts w:ascii="Cambria" w:hAnsi="Cambria" w:cs="Cambria"/>
        </w:rPr>
      </w:pPr>
      <w:r>
        <w:rPr>
          <w:rFonts w:hint="eastAsia" w:ascii="Cambria" w:hAnsi="Cambria" w:cs="Cambria"/>
        </w:rPr>
        <w:t>本文件</w:t>
      </w:r>
      <w:r>
        <w:rPr>
          <w:rFonts w:hint="eastAsia" w:ascii="宋体" w:hAnsi="宋体" w:cs="宋体"/>
        </w:rPr>
        <w:t>适</w:t>
      </w:r>
      <w:r>
        <w:rPr>
          <w:rFonts w:hint="eastAsia" w:ascii="Cambria" w:hAnsi="Cambria" w:cs="Cambria"/>
        </w:rPr>
        <w:t>用于各国中医医疗、卫生统计、中医病案管理、中医临床医疗质量评定、科研、教学、学术交流等领域。</w:t>
      </w:r>
    </w:p>
    <w:p w14:paraId="336189DC">
      <w:pPr>
        <w:spacing w:before="312" w:beforeLines="100" w:after="312" w:afterLines="100" w:line="276" w:lineRule="auto"/>
        <w:outlineLvl w:val="0"/>
        <w:rPr>
          <w:rFonts w:hint="eastAsia" w:ascii="黑体" w:hAnsi="黑体" w:eastAsia="黑体" w:cs="宋体"/>
          <w:szCs w:val="18"/>
        </w:rPr>
      </w:pPr>
      <w:bookmarkStart w:id="6" w:name="_Toc396730190"/>
      <w:bookmarkStart w:id="7" w:name="_Toc2541"/>
      <w:r>
        <w:rPr>
          <w:rFonts w:ascii="黑体" w:hAnsi="黑体" w:eastAsia="黑体" w:cs="宋体"/>
          <w:szCs w:val="18"/>
        </w:rPr>
        <w:t>2</w:t>
      </w:r>
      <w:r>
        <w:rPr>
          <w:rFonts w:hint="eastAsia" w:ascii="黑体" w:hAnsi="黑体" w:eastAsia="黑体" w:cs="宋体"/>
          <w:szCs w:val="18"/>
        </w:rPr>
        <w:t xml:space="preserve"> </w:t>
      </w:r>
      <w:r>
        <w:rPr>
          <w:rFonts w:ascii="黑体" w:hAnsi="黑体" w:eastAsia="黑体" w:cs="宋体"/>
          <w:szCs w:val="18"/>
        </w:rPr>
        <w:t>规范性引用文件</w:t>
      </w:r>
      <w:bookmarkEnd w:id="6"/>
      <w:bookmarkEnd w:id="7"/>
    </w:p>
    <w:p w14:paraId="3FF295CA">
      <w:pPr>
        <w:spacing w:line="276" w:lineRule="auto"/>
        <w:ind w:firstLine="420" w:firstLineChars="200"/>
        <w:jc w:val="left"/>
        <w:rPr>
          <w:rFonts w:ascii="Cambria" w:hAnsi="Cambria"/>
        </w:rPr>
      </w:pPr>
      <w:r>
        <w:rPr>
          <w:rFonts w:ascii="Cambria" w:hAnsi="Cambria"/>
        </w:rPr>
        <w:t>下列文件</w:t>
      </w:r>
      <w:r>
        <w:rPr>
          <w:rFonts w:hint="eastAsia" w:ascii="Cambria" w:hAnsi="Cambria"/>
        </w:rPr>
        <w:t>中的内容通过文中的规范性引用而构成</w:t>
      </w:r>
      <w:r>
        <w:rPr>
          <w:rFonts w:ascii="Cambria" w:hAnsi="Cambria"/>
        </w:rPr>
        <w:t>本文件必不可少的</w:t>
      </w:r>
      <w:r>
        <w:rPr>
          <w:rFonts w:hint="eastAsia" w:ascii="Cambria" w:hAnsi="Cambria"/>
        </w:rPr>
        <w:t>条款</w:t>
      </w:r>
      <w:r>
        <w:rPr>
          <w:rFonts w:ascii="Cambria" w:hAnsi="Cambria"/>
        </w:rPr>
        <w:t>。</w:t>
      </w:r>
      <w:r>
        <w:rPr>
          <w:rFonts w:hint="eastAsia" w:ascii="Cambria" w:hAnsi="Cambria"/>
        </w:rPr>
        <w:t>其中，凡是标</w:t>
      </w:r>
      <w:r>
        <w:rPr>
          <w:rFonts w:ascii="Cambria" w:hAnsi="Cambria"/>
        </w:rPr>
        <w:t>注日期的引用文件，仅</w:t>
      </w:r>
      <w:r>
        <w:rPr>
          <w:rFonts w:hint="eastAsia" w:ascii="Cambria" w:hAnsi="Cambria"/>
        </w:rPr>
        <w:t>该日期对应</w:t>
      </w:r>
      <w:r>
        <w:rPr>
          <w:rFonts w:ascii="Cambria" w:hAnsi="Cambria"/>
        </w:rPr>
        <w:t>的版本适用于本文件</w:t>
      </w:r>
      <w:r>
        <w:rPr>
          <w:rFonts w:hint="eastAsia" w:ascii="Cambria" w:hAnsi="Cambria"/>
        </w:rPr>
        <w:t>。凡是</w:t>
      </w:r>
      <w:r>
        <w:rPr>
          <w:rFonts w:ascii="Cambria" w:hAnsi="Cambria"/>
        </w:rPr>
        <w:t>不注日期的引用文件，其最新版本</w:t>
      </w:r>
      <w:r>
        <w:rPr>
          <w:rFonts w:hint="eastAsia" w:ascii="Cambria" w:hAnsi="Cambria"/>
        </w:rPr>
        <w:t>（</w:t>
      </w:r>
      <w:r>
        <w:rPr>
          <w:rFonts w:ascii="Cambria" w:hAnsi="Cambria"/>
        </w:rPr>
        <w:t>包括所有的</w:t>
      </w:r>
      <w:r>
        <w:rPr>
          <w:rFonts w:hint="eastAsia" w:ascii="Cambria" w:hAnsi="Cambria"/>
        </w:rPr>
        <w:t>修订</w:t>
      </w:r>
      <w:r>
        <w:rPr>
          <w:rFonts w:ascii="Cambria" w:hAnsi="Cambria"/>
        </w:rPr>
        <w:t>单</w:t>
      </w:r>
      <w:r>
        <w:rPr>
          <w:rFonts w:hint="eastAsia" w:ascii="Cambria" w:hAnsi="Cambria"/>
        </w:rPr>
        <w:t>）</w:t>
      </w:r>
      <w:r>
        <w:rPr>
          <w:rFonts w:ascii="Cambria" w:hAnsi="Cambria"/>
        </w:rPr>
        <w:t>适用于本文件。</w:t>
      </w:r>
    </w:p>
    <w:p w14:paraId="060155C1">
      <w:pPr>
        <w:spacing w:line="276" w:lineRule="auto"/>
        <w:ind w:firstLine="420" w:firstLineChars="200"/>
        <w:jc w:val="left"/>
        <w:rPr>
          <w:rFonts w:ascii="Cambria" w:hAnsi="Cambria" w:cs="Cambria"/>
        </w:rPr>
      </w:pPr>
      <w:r>
        <w:rPr>
          <w:rFonts w:ascii="Cambria" w:hAnsi="Cambria" w:cs="Cambria"/>
        </w:rPr>
        <w:t>GB/T 30219-2013</w:t>
      </w:r>
      <w:r>
        <w:rPr>
          <w:rFonts w:hint="default" w:ascii="Cambria" w:hAnsi="Cambria" w:cs="Cambria"/>
        </w:rPr>
        <w:t xml:space="preserve"> 中药煎药机</w:t>
      </w:r>
    </w:p>
    <w:p w14:paraId="66F0D59C">
      <w:pPr>
        <w:spacing w:line="276" w:lineRule="auto"/>
        <w:ind w:firstLine="420" w:firstLineChars="200"/>
        <w:jc w:val="left"/>
        <w:rPr>
          <w:rFonts w:ascii="Cambria" w:hAnsi="Cambria" w:cs="Cambria"/>
        </w:rPr>
      </w:pPr>
      <w:r>
        <w:rPr>
          <w:rFonts w:ascii="Cambria" w:hAnsi="Cambria" w:cs="Cambria"/>
        </w:rPr>
        <w:t>ISO 18665 Traditional Chinese medicine — Herbal decoction apparatus（2022年）</w:t>
      </w:r>
    </w:p>
    <w:p w14:paraId="67E98C76">
      <w:pPr>
        <w:spacing w:before="312" w:beforeLines="100" w:after="312" w:afterLines="100" w:line="276" w:lineRule="auto"/>
        <w:outlineLvl w:val="0"/>
        <w:rPr>
          <w:rFonts w:hint="eastAsia" w:ascii="黑体" w:hAnsi="黑体" w:eastAsia="黑体" w:cs="宋体"/>
          <w:szCs w:val="18"/>
        </w:rPr>
      </w:pPr>
      <w:bookmarkStart w:id="8" w:name="_Toc396730192"/>
      <w:bookmarkStart w:id="9" w:name="_Toc32342"/>
      <w:r>
        <w:rPr>
          <w:rFonts w:ascii="黑体" w:hAnsi="黑体" w:eastAsia="黑体" w:cs="宋体"/>
          <w:szCs w:val="18"/>
        </w:rPr>
        <w:t>3</w:t>
      </w:r>
      <w:r>
        <w:rPr>
          <w:rFonts w:hint="eastAsia" w:ascii="黑体" w:hAnsi="黑体" w:eastAsia="黑体" w:cs="宋体"/>
          <w:szCs w:val="18"/>
        </w:rPr>
        <w:t xml:space="preserve"> </w:t>
      </w:r>
      <w:r>
        <w:rPr>
          <w:rFonts w:ascii="黑体" w:hAnsi="黑体" w:eastAsia="黑体" w:cs="宋体"/>
          <w:szCs w:val="18"/>
        </w:rPr>
        <w:t>术语和定义</w:t>
      </w:r>
      <w:bookmarkEnd w:id="8"/>
      <w:bookmarkEnd w:id="9"/>
    </w:p>
    <w:p w14:paraId="05BE7040">
      <w:pPr>
        <w:keepNext w:val="0"/>
        <w:keepLines w:val="0"/>
        <w:pageBreakBefore w:val="0"/>
        <w:widowControl w:val="0"/>
        <w:kinsoku/>
        <w:wordWrap/>
        <w:overflowPunct/>
        <w:topLinePunct w:val="0"/>
        <w:autoSpaceDE/>
        <w:autoSpaceDN/>
        <w:bidi w:val="0"/>
        <w:adjustRightInd/>
        <w:snapToGrid/>
        <w:spacing w:line="276" w:lineRule="auto"/>
        <w:ind w:firstLine="363"/>
        <w:textAlignment w:val="auto"/>
        <w:outlineLvl w:val="9"/>
        <w:rPr>
          <w:rFonts w:ascii="Cambria" w:hAnsi="Cambria" w:cs="宋体"/>
        </w:rPr>
      </w:pPr>
      <w:bookmarkStart w:id="10" w:name="_Toc11827"/>
      <w:bookmarkStart w:id="11" w:name="_Toc396730193"/>
      <w:r>
        <w:rPr>
          <w:rFonts w:ascii="Cambria" w:hAnsi="Cambria" w:cs="宋体"/>
        </w:rPr>
        <w:t>下列术语</w:t>
      </w:r>
      <w:r>
        <w:rPr>
          <w:rFonts w:hint="eastAsia" w:ascii="Cambria" w:hAnsi="Cambria" w:cs="宋体"/>
        </w:rPr>
        <w:t>与</w:t>
      </w:r>
      <w:r>
        <w:rPr>
          <w:rFonts w:ascii="Cambria" w:hAnsi="Cambria" w:cs="宋体"/>
        </w:rPr>
        <w:t>定义适用于本文件。</w:t>
      </w:r>
      <w:bookmarkEnd w:id="10"/>
      <w:bookmarkEnd w:id="11"/>
    </w:p>
    <w:p w14:paraId="75E4F182">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w:t>
      </w:r>
    </w:p>
    <w:p w14:paraId="6B11F326">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汤剂</w:t>
      </w:r>
    </w:p>
    <w:p w14:paraId="2AA9DA70">
      <w:pPr>
        <w:spacing w:line="276" w:lineRule="auto"/>
        <w:ind w:firstLine="420"/>
        <w:jc w:val="left"/>
        <w:rPr>
          <w:rFonts w:hint="eastAsia" w:ascii="宋体" w:hAnsi="宋体"/>
        </w:rPr>
      </w:pPr>
      <w:r>
        <w:rPr>
          <w:rFonts w:hint="eastAsia" w:ascii="宋体" w:hAnsi="宋体"/>
        </w:rPr>
        <w:t>将饮片加水煎煮或沸水浸泡后，滤过而取滤液制得的液体制剂。</w:t>
      </w:r>
    </w:p>
    <w:p w14:paraId="512DC83D">
      <w:pPr>
        <w:spacing w:line="276" w:lineRule="auto"/>
        <w:ind w:left="420" w:leftChars="200" w:firstLine="0"/>
        <w:jc w:val="left"/>
        <w:rPr>
          <w:rFonts w:hint="eastAsia" w:ascii="宋体" w:hAnsi="宋体"/>
          <w:sz w:val="18"/>
          <w:szCs w:val="18"/>
        </w:rPr>
      </w:pPr>
      <w:r>
        <w:rPr>
          <w:rFonts w:hint="eastAsia" w:ascii="黑体" w:hAnsi="黑体" w:eastAsia="黑体" w:cs="黑体"/>
          <w:sz w:val="18"/>
          <w:szCs w:val="18"/>
        </w:rPr>
        <w:t>注1：</w:t>
      </w:r>
      <w:r>
        <w:rPr>
          <w:rFonts w:hint="eastAsia" w:ascii="宋体" w:hAnsi="宋体"/>
          <w:sz w:val="18"/>
          <w:szCs w:val="18"/>
        </w:rPr>
        <w:t>以饮片粗颗粒入药者又称“煮散”，以沸水浸泡药物不定时不定量饮用者，俗称为“饮”。</w:t>
      </w:r>
    </w:p>
    <w:p w14:paraId="6467A5EC">
      <w:pPr>
        <w:spacing w:line="276" w:lineRule="auto"/>
        <w:ind w:left="420" w:leftChars="200" w:firstLine="0"/>
        <w:jc w:val="left"/>
        <w:rPr>
          <w:rFonts w:hint="eastAsia" w:ascii="宋体" w:hAnsi="宋体"/>
          <w:sz w:val="18"/>
          <w:szCs w:val="18"/>
        </w:rPr>
      </w:pPr>
      <w:r>
        <w:rPr>
          <w:rFonts w:hint="eastAsia" w:ascii="黑体" w:hAnsi="黑体" w:eastAsia="黑体" w:cs="黑体"/>
          <w:sz w:val="18"/>
          <w:szCs w:val="18"/>
        </w:rPr>
        <w:t>注2：</w:t>
      </w:r>
      <w:r>
        <w:rPr>
          <w:rFonts w:hint="eastAsia" w:ascii="宋体" w:hAnsi="宋体"/>
          <w:sz w:val="18"/>
          <w:szCs w:val="18"/>
        </w:rPr>
        <w:t>汤剂主要供内服、鼻饲、灌肠给药，也可供含漱、洗浴、熏蒸之用。</w:t>
      </w:r>
    </w:p>
    <w:p w14:paraId="77553FCC">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3.2</w:t>
      </w:r>
    </w:p>
    <w:p w14:paraId="1C7D78FC">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合剂  </w:t>
      </w:r>
    </w:p>
    <w:p w14:paraId="14972966">
      <w:pPr>
        <w:spacing w:line="276" w:lineRule="auto"/>
        <w:ind w:firstLine="420" w:firstLineChars="200"/>
        <w:jc w:val="left"/>
        <w:rPr>
          <w:rFonts w:hint="eastAsia" w:ascii="宋体" w:hAnsi="宋体"/>
        </w:rPr>
      </w:pPr>
      <w:r>
        <w:rPr>
          <w:rFonts w:hint="eastAsia" w:ascii="宋体" w:hAnsi="宋体"/>
        </w:rPr>
        <w:t>饮片用水或其他溶剂，采用适宜的方法提取制成的口服液体制剂。</w:t>
      </w:r>
    </w:p>
    <w:p w14:paraId="061BFD55">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单剂量灌装者也可称“口服液”。</w:t>
      </w:r>
    </w:p>
    <w:p w14:paraId="7AD26018">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3.3</w:t>
      </w:r>
    </w:p>
    <w:p w14:paraId="73BD7E17">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糖浆剂  </w:t>
      </w:r>
    </w:p>
    <w:p w14:paraId="479B1E7C">
      <w:pPr>
        <w:spacing w:line="276" w:lineRule="auto"/>
        <w:ind w:firstLine="420" w:firstLineChars="200"/>
        <w:jc w:val="left"/>
        <w:rPr>
          <w:rFonts w:hint="eastAsia" w:ascii="宋体" w:hAnsi="宋体"/>
        </w:rPr>
      </w:pPr>
      <w:r>
        <w:rPr>
          <w:rFonts w:hint="eastAsia" w:ascii="宋体" w:hAnsi="宋体"/>
        </w:rPr>
        <w:t>含有原料药物的浓蔗糖水溶液。</w:t>
      </w:r>
    </w:p>
    <w:p w14:paraId="24ED44B4">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3.4</w:t>
      </w:r>
    </w:p>
    <w:p w14:paraId="3D717612">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流浸膏剂与浸膏剂  </w:t>
      </w:r>
    </w:p>
    <w:p w14:paraId="44CB71B9">
      <w:pPr>
        <w:spacing w:line="276" w:lineRule="auto"/>
        <w:ind w:firstLine="420" w:firstLineChars="200"/>
        <w:jc w:val="left"/>
        <w:rPr>
          <w:rFonts w:hint="eastAsia" w:ascii="宋体" w:hAnsi="宋体"/>
        </w:rPr>
      </w:pPr>
      <w:r>
        <w:rPr>
          <w:rFonts w:hint="eastAsia" w:ascii="宋体" w:hAnsi="宋体"/>
        </w:rPr>
        <w:t>饮片用适宜的溶剂提取，蒸去部分或全部溶剂，调整至规定浓度而成的制剂。</w:t>
      </w:r>
    </w:p>
    <w:p w14:paraId="4BD6903C">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除另有规定外，流浸膏剂系指每</w:t>
      </w:r>
      <w:r>
        <w:rPr>
          <w:sz w:val="18"/>
          <w:szCs w:val="18"/>
        </w:rPr>
        <w:t>1mL</w:t>
      </w:r>
      <w:r>
        <w:rPr>
          <w:rFonts w:hint="eastAsia" w:ascii="宋体" w:hAnsi="宋体"/>
          <w:sz w:val="18"/>
          <w:szCs w:val="18"/>
        </w:rPr>
        <w:t>相当于饮片</w:t>
      </w:r>
      <w:r>
        <w:rPr>
          <w:sz w:val="18"/>
          <w:szCs w:val="18"/>
        </w:rPr>
        <w:t>1g</w:t>
      </w:r>
      <w:r>
        <w:rPr>
          <w:rFonts w:hint="eastAsia" w:ascii="宋体" w:hAnsi="宋体"/>
          <w:sz w:val="18"/>
          <w:szCs w:val="18"/>
        </w:rPr>
        <w:t>；浸膏剂分为稠膏和干膏两种，每</w:t>
      </w:r>
      <w:r>
        <w:rPr>
          <w:sz w:val="18"/>
          <w:szCs w:val="18"/>
        </w:rPr>
        <w:t>1g</w:t>
      </w:r>
      <w:r>
        <w:rPr>
          <w:rFonts w:hint="eastAsia" w:ascii="宋体" w:hAnsi="宋体"/>
          <w:sz w:val="18"/>
          <w:szCs w:val="18"/>
        </w:rPr>
        <w:t>相当于饮片</w:t>
      </w:r>
      <w:r>
        <w:rPr>
          <w:sz w:val="18"/>
          <w:szCs w:val="18"/>
        </w:rPr>
        <w:t>2～5g</w:t>
      </w:r>
      <w:r>
        <w:rPr>
          <w:rFonts w:hint="eastAsia"/>
          <w:sz w:val="18"/>
          <w:szCs w:val="18"/>
        </w:rPr>
        <w:t>。</w:t>
      </w:r>
    </w:p>
    <w:p w14:paraId="01683953">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3.5</w:t>
      </w:r>
    </w:p>
    <w:p w14:paraId="166BCB5E">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酊剂  </w:t>
      </w:r>
    </w:p>
    <w:p w14:paraId="4065A10D">
      <w:pPr>
        <w:spacing w:line="276" w:lineRule="auto"/>
        <w:ind w:firstLine="420" w:firstLineChars="200"/>
        <w:jc w:val="left"/>
        <w:rPr>
          <w:rFonts w:hint="eastAsia" w:ascii="宋体" w:hAnsi="宋体"/>
        </w:rPr>
      </w:pPr>
      <w:r>
        <w:rPr>
          <w:rFonts w:hint="eastAsia" w:ascii="宋体" w:hAnsi="宋体"/>
        </w:rPr>
        <w:t>将原料药物用规定浓度的乙醇提取或溶解而制成的澄清液体制剂，也可用流浸膏稀释制成。</w:t>
      </w:r>
    </w:p>
    <w:p w14:paraId="15E05524">
      <w:pPr>
        <w:spacing w:line="276" w:lineRule="auto"/>
        <w:ind w:firstLine="360" w:firstLineChars="20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供口服或外用。</w:t>
      </w:r>
    </w:p>
    <w:p w14:paraId="5A2F06F7">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3.6</w:t>
      </w:r>
    </w:p>
    <w:p w14:paraId="592B171B">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乳剂                                                  </w:t>
      </w:r>
    </w:p>
    <w:p w14:paraId="65225DCB">
      <w:pPr>
        <w:spacing w:line="276" w:lineRule="auto"/>
        <w:ind w:firstLine="420" w:firstLineChars="200"/>
        <w:jc w:val="left"/>
        <w:rPr>
          <w:rFonts w:hint="eastAsia" w:ascii="宋体" w:hAnsi="宋体"/>
        </w:rPr>
      </w:pPr>
      <w:r>
        <w:rPr>
          <w:rFonts w:hint="eastAsia" w:ascii="宋体" w:hAnsi="宋体"/>
        </w:rPr>
        <w:t>指用两种互不相溶的液体将药物制成的供口服等胃肠道给药的水包油型液体制剂。</w:t>
      </w:r>
    </w:p>
    <w:p w14:paraId="72751FAA">
      <w:pPr>
        <w:spacing w:line="276" w:lineRule="auto"/>
        <w:ind w:firstLine="360" w:firstLineChars="20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用适宜的量具以小体积或以滴计量的口服乳剂称为滴剂。</w:t>
      </w:r>
    </w:p>
    <w:p w14:paraId="124CC4AE">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3.7</w:t>
      </w:r>
    </w:p>
    <w:p w14:paraId="26220DDF">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露剂  </w:t>
      </w:r>
    </w:p>
    <w:p w14:paraId="037AE282">
      <w:pPr>
        <w:spacing w:line="276" w:lineRule="auto"/>
        <w:ind w:firstLine="420" w:firstLineChars="200"/>
        <w:jc w:val="left"/>
        <w:rPr>
          <w:rFonts w:hint="eastAsia" w:ascii="宋体" w:hAnsi="宋体"/>
        </w:rPr>
      </w:pPr>
      <w:r>
        <w:rPr>
          <w:rFonts w:hint="eastAsia" w:ascii="宋体" w:hAnsi="宋体"/>
        </w:rPr>
        <w:t>含挥发性成分的饮片用水蒸气蒸馏法制成的芳香水剂</w:t>
      </w:r>
      <w:r>
        <w:rPr>
          <w:rFonts w:ascii="宋体" w:hAnsi="宋体"/>
        </w:rPr>
        <w:t>。</w:t>
      </w:r>
    </w:p>
    <w:p w14:paraId="1C503513">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3.8</w:t>
      </w:r>
    </w:p>
    <w:p w14:paraId="4C10D4F2">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煎膏剂  </w:t>
      </w:r>
    </w:p>
    <w:p w14:paraId="3CC626D9">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膏滋</w:t>
      </w:r>
    </w:p>
    <w:p w14:paraId="18CD31FE">
      <w:pPr>
        <w:spacing w:line="276" w:lineRule="auto"/>
        <w:ind w:firstLine="420" w:firstLineChars="200"/>
        <w:jc w:val="left"/>
        <w:rPr>
          <w:rFonts w:hint="eastAsia" w:ascii="宋体" w:hAnsi="宋体"/>
        </w:rPr>
      </w:pPr>
      <w:r>
        <w:rPr>
          <w:rFonts w:hint="eastAsia" w:ascii="宋体" w:hAnsi="宋体"/>
        </w:rPr>
        <w:t>饮片用水煎煮，取煎煮液浓缩，加炼蜜或糖（或转化糖）制成的半流体制剂</w:t>
      </w:r>
      <w:r>
        <w:rPr>
          <w:rFonts w:ascii="宋体" w:hAnsi="宋体"/>
        </w:rPr>
        <w:t>。</w:t>
      </w:r>
    </w:p>
    <w:p w14:paraId="1303AAFA">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3.9</w:t>
      </w:r>
    </w:p>
    <w:p w14:paraId="0EC2FA29">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颗粒剂  </w:t>
      </w:r>
    </w:p>
    <w:p w14:paraId="6903B95B">
      <w:pPr>
        <w:spacing w:line="276" w:lineRule="auto"/>
        <w:ind w:firstLine="420" w:firstLineChars="200"/>
        <w:jc w:val="left"/>
        <w:rPr>
          <w:rFonts w:hint="eastAsia" w:ascii="宋体" w:hAnsi="宋体"/>
        </w:rPr>
      </w:pPr>
      <w:r>
        <w:rPr>
          <w:rFonts w:hint="eastAsia" w:ascii="宋体" w:hAnsi="宋体"/>
        </w:rPr>
        <w:t>原料药物与适宜的辅料混合制成具有一定粒度的干燥颗粒状制剂。</w:t>
      </w:r>
    </w:p>
    <w:p w14:paraId="4EEAB651">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注1：</w:t>
      </w:r>
      <w:r>
        <w:rPr>
          <w:rFonts w:hint="eastAsia" w:ascii="宋体" w:hAnsi="宋体"/>
          <w:sz w:val="18"/>
          <w:szCs w:val="18"/>
        </w:rPr>
        <w:t>颗粒剂可分为可溶颗粒（通称为颗粒）、混悬颗粒、泡腾颗粒、肠溶颗粒，根据释放特性不同还有缓释颗粒等</w:t>
      </w:r>
      <w:r>
        <w:rPr>
          <w:rFonts w:ascii="宋体" w:hAnsi="宋体"/>
          <w:sz w:val="18"/>
          <w:szCs w:val="18"/>
        </w:rPr>
        <w:t>。</w:t>
      </w:r>
    </w:p>
    <w:p w14:paraId="1D612E99">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注2：</w:t>
      </w:r>
      <w:r>
        <w:rPr>
          <w:rFonts w:hint="eastAsia" w:ascii="宋体" w:hAnsi="宋体"/>
          <w:sz w:val="18"/>
          <w:szCs w:val="18"/>
        </w:rPr>
        <w:t>本标准中的颗粒剂包含中药复方颗粒及中药配方颗粒。</w:t>
      </w:r>
    </w:p>
    <w:p w14:paraId="34457003">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3.10</w:t>
      </w:r>
    </w:p>
    <w:p w14:paraId="66E6E10E">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片剂  </w:t>
      </w:r>
    </w:p>
    <w:p w14:paraId="4254B83E">
      <w:pPr>
        <w:spacing w:line="276" w:lineRule="auto"/>
        <w:ind w:firstLine="420" w:firstLineChars="200"/>
        <w:jc w:val="left"/>
        <w:rPr>
          <w:rFonts w:hint="eastAsia" w:ascii="宋体" w:hAnsi="宋体"/>
        </w:rPr>
      </w:pPr>
      <w:r>
        <w:rPr>
          <w:rFonts w:hint="eastAsia" w:ascii="宋体" w:hAnsi="宋体"/>
        </w:rPr>
        <w:t>原料药物或与适宜的辅料制成的圆形或异形的片状固体制剂。</w:t>
      </w:r>
    </w:p>
    <w:p w14:paraId="472CFA6A">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注1：</w:t>
      </w:r>
      <w:r>
        <w:rPr>
          <w:rFonts w:hint="eastAsia" w:ascii="宋体" w:hAnsi="宋体"/>
          <w:sz w:val="18"/>
          <w:szCs w:val="18"/>
        </w:rPr>
        <w:t>中药还有浸膏片、半浸膏片和全粉末片等。</w:t>
      </w:r>
    </w:p>
    <w:p w14:paraId="238F90D2">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注2：</w:t>
      </w:r>
      <w:r>
        <w:rPr>
          <w:rFonts w:hint="eastAsia" w:ascii="宋体" w:hAnsi="宋体"/>
          <w:sz w:val="18"/>
          <w:szCs w:val="18"/>
        </w:rPr>
        <w:t>片剂以口服普通片为主，另有含片、舌下片、口腔贴片、咀嚼片、分散片、可溶片、泡腾片、肠溶片与口崩片等</w:t>
      </w:r>
      <w:r>
        <w:rPr>
          <w:rFonts w:ascii="宋体" w:hAnsi="宋体"/>
          <w:sz w:val="18"/>
          <w:szCs w:val="18"/>
        </w:rPr>
        <w:t>。</w:t>
      </w:r>
    </w:p>
    <w:p w14:paraId="55B399BC">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3.11</w:t>
      </w:r>
    </w:p>
    <w:p w14:paraId="661DAC25">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胶囊剂  </w:t>
      </w:r>
    </w:p>
    <w:p w14:paraId="1B61E208">
      <w:pPr>
        <w:spacing w:line="276" w:lineRule="auto"/>
        <w:ind w:firstLine="420" w:firstLineChars="200"/>
        <w:jc w:val="left"/>
        <w:rPr>
          <w:rFonts w:hint="eastAsia" w:ascii="宋体" w:hAnsi="宋体"/>
        </w:rPr>
      </w:pPr>
      <w:r>
        <w:rPr>
          <w:rFonts w:hint="eastAsia" w:ascii="宋体" w:hAnsi="宋体"/>
        </w:rPr>
        <w:t>原料药物或与适宜辅料充填于空心胶囊或密封于软质囊材中制成的固体制剂。</w:t>
      </w:r>
    </w:p>
    <w:p w14:paraId="1529178A">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胶囊剂可分为硬胶囊和软胶囊。根据释放特性不同还有缓释胶囊、控释胶囊、肠溶胶囊等</w:t>
      </w:r>
      <w:r>
        <w:rPr>
          <w:rFonts w:ascii="宋体" w:hAnsi="宋体"/>
          <w:sz w:val="18"/>
          <w:szCs w:val="18"/>
        </w:rPr>
        <w:t>。</w:t>
      </w:r>
    </w:p>
    <w:p w14:paraId="6478B94F">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3.12</w:t>
      </w:r>
    </w:p>
    <w:p w14:paraId="066A040A">
      <w:pPr>
        <w:pStyle w:val="12"/>
        <w:snapToGrid w:val="0"/>
        <w:spacing w:before="157" w:beforeLines="50" w:after="157" w:afterLines="50" w:line="276" w:lineRule="auto"/>
        <w:ind w:firstLine="420" w:firstLineChars="200"/>
        <w:jc w:val="left"/>
        <w:outlineLvl w:val="9"/>
        <w:rPr>
          <w:rFonts w:hint="eastAsia" w:ascii="黑体" w:hAnsi="黑体" w:eastAsia="黑体"/>
          <w:b w:val="0"/>
          <w:sz w:val="21"/>
        </w:rPr>
      </w:pPr>
      <w:bookmarkStart w:id="12" w:name="_Toc372797450"/>
      <w:bookmarkStart w:id="13" w:name="_Toc372796743"/>
      <w:r>
        <w:rPr>
          <w:rFonts w:hint="eastAsia" w:ascii="黑体" w:hAnsi="黑体" w:eastAsia="黑体"/>
          <w:b w:val="0"/>
          <w:sz w:val="21"/>
        </w:rPr>
        <w:t xml:space="preserve">散剂  </w:t>
      </w:r>
      <w:bookmarkEnd w:id="12"/>
      <w:bookmarkEnd w:id="13"/>
    </w:p>
    <w:p w14:paraId="2C299C2C">
      <w:pPr>
        <w:spacing w:line="276" w:lineRule="auto"/>
        <w:ind w:firstLine="420" w:firstLineChars="200"/>
      </w:pPr>
      <w:r>
        <w:t>原料药物或与适宜的辅料经粉碎、均匀混合制成的干燥粉末状制剂。</w:t>
      </w:r>
    </w:p>
    <w:p w14:paraId="535901B9">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w:t>
      </w:r>
      <w:r>
        <w:rPr>
          <w:sz w:val="18"/>
          <w:szCs w:val="18"/>
        </w:rPr>
        <w:t>散剂</w:t>
      </w:r>
      <w:r>
        <w:rPr>
          <w:rFonts w:hint="eastAsia"/>
          <w:sz w:val="18"/>
          <w:szCs w:val="18"/>
        </w:rPr>
        <w:t>可分为</w:t>
      </w:r>
      <w:r>
        <w:rPr>
          <w:sz w:val="18"/>
          <w:szCs w:val="18"/>
        </w:rPr>
        <w:t>口服散剂和局部用散剂</w:t>
      </w:r>
      <w:r>
        <w:rPr>
          <w:rFonts w:ascii="宋体" w:hAnsi="宋体"/>
          <w:sz w:val="18"/>
          <w:szCs w:val="18"/>
        </w:rPr>
        <w:t>。</w:t>
      </w:r>
    </w:p>
    <w:p w14:paraId="18A409D3">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3.13</w:t>
      </w:r>
    </w:p>
    <w:p w14:paraId="6819A18A">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丸剂  </w:t>
      </w:r>
    </w:p>
    <w:p w14:paraId="3A572CAF">
      <w:pPr>
        <w:spacing w:line="276" w:lineRule="auto"/>
        <w:ind w:firstLine="420" w:firstLineChars="200"/>
        <w:jc w:val="left"/>
        <w:rPr>
          <w:rFonts w:hint="eastAsia" w:ascii="宋体" w:hAnsi="宋体"/>
        </w:rPr>
      </w:pPr>
      <w:r>
        <w:rPr>
          <w:rFonts w:hint="eastAsia" w:ascii="宋体" w:hAnsi="宋体"/>
        </w:rPr>
        <w:t>原料药物与适宜的辅料制成的球形或类球形固体制剂。</w:t>
      </w:r>
    </w:p>
    <w:p w14:paraId="3D5A1196">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丸剂包括蜜丸、水蜜丸、水丸、糊丸、蜡丸、浓缩丸、滴丸和糖丸等。</w:t>
      </w:r>
    </w:p>
    <w:p w14:paraId="4361836E">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3.14</w:t>
      </w:r>
    </w:p>
    <w:p w14:paraId="0EFBE7EF">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滴丸剂 </w:t>
      </w:r>
    </w:p>
    <w:p w14:paraId="70FD6E8C">
      <w:pPr>
        <w:spacing w:line="276" w:lineRule="auto"/>
        <w:ind w:firstLine="420" w:firstLineChars="200"/>
        <w:jc w:val="left"/>
        <w:rPr>
          <w:rFonts w:hint="eastAsia" w:ascii="宋体" w:hAnsi="宋体"/>
        </w:rPr>
      </w:pPr>
      <w:r>
        <w:rPr>
          <w:rFonts w:hint="eastAsia" w:ascii="宋体" w:hAnsi="宋体"/>
        </w:rPr>
        <w:t>原料药物与适宜的基质加热熔融混匀，滴入不相混溶、互不作用的冷凝介质中制成的球形或类球形制剂</w:t>
      </w:r>
      <w:r>
        <w:rPr>
          <w:rFonts w:ascii="宋体" w:hAnsi="宋体"/>
        </w:rPr>
        <w:t>。</w:t>
      </w:r>
    </w:p>
    <w:p w14:paraId="4586EFF0">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3.15</w:t>
      </w:r>
    </w:p>
    <w:p w14:paraId="64AFA66C">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糕剂</w:t>
      </w:r>
    </w:p>
    <w:p w14:paraId="41906E14">
      <w:pPr>
        <w:spacing w:line="276" w:lineRule="auto"/>
        <w:ind w:firstLine="420" w:firstLineChars="200"/>
        <w:jc w:val="left"/>
        <w:rPr>
          <w:rFonts w:hint="eastAsia" w:ascii="宋体" w:hAnsi="宋体"/>
        </w:rPr>
      </w:pPr>
      <w:r>
        <w:rPr>
          <w:rFonts w:hint="eastAsia" w:ascii="宋体" w:hAnsi="宋体"/>
        </w:rPr>
        <w:t>饮片细粉加米粉、蔗糖混匀蒸制而成的块状制剂</w:t>
      </w:r>
      <w:r>
        <w:rPr>
          <w:rFonts w:ascii="宋体" w:hAnsi="宋体"/>
        </w:rPr>
        <w:t>。</w:t>
      </w:r>
    </w:p>
    <w:p w14:paraId="5CDBBDDF">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3.16</w:t>
      </w:r>
    </w:p>
    <w:p w14:paraId="750FEE39">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胶剂</w:t>
      </w:r>
    </w:p>
    <w:p w14:paraId="7F32F538">
      <w:pPr>
        <w:spacing w:line="276" w:lineRule="auto"/>
        <w:ind w:firstLine="420" w:firstLineChars="200"/>
        <w:jc w:val="left"/>
        <w:rPr>
          <w:rFonts w:hint="eastAsia" w:ascii="宋体" w:hAnsi="宋体"/>
        </w:rPr>
      </w:pPr>
      <w:r>
        <w:rPr>
          <w:rFonts w:hint="eastAsia" w:ascii="宋体" w:hAnsi="宋体"/>
        </w:rPr>
        <w:t>将动物皮、骨、甲或角，用水煎取胶质，浓缩成稠胶状，经干燥后制成的固体块状口服制剂</w:t>
      </w:r>
      <w:r>
        <w:rPr>
          <w:rFonts w:ascii="宋体" w:hAnsi="宋体"/>
        </w:rPr>
        <w:t>。</w:t>
      </w:r>
    </w:p>
    <w:p w14:paraId="60F65091">
      <w:pPr>
        <w:spacing w:line="276" w:lineRule="auto"/>
        <w:ind w:left="420" w:leftChars="200" w:firstLine="0" w:firstLineChars="0"/>
        <w:jc w:val="left"/>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按原料来源不同，胶剂可分以动物皮为原料制成的皮胶，以动物骨化的角为原料制成的角胶，以动物的骨骼为原料制成的骨胶，以动物的甲壳为原料制成的甲胶等。</w:t>
      </w:r>
    </w:p>
    <w:p w14:paraId="647DA1D1">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3.17</w:t>
      </w:r>
    </w:p>
    <w:p w14:paraId="42B5B248">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鼻饲法 </w:t>
      </w:r>
    </w:p>
    <w:p w14:paraId="4F854873">
      <w:pPr>
        <w:spacing w:line="276" w:lineRule="auto"/>
        <w:ind w:firstLine="420" w:firstLineChars="200"/>
        <w:jc w:val="left"/>
        <w:rPr>
          <w:rFonts w:hint="eastAsia" w:ascii="宋体" w:hAnsi="宋体"/>
        </w:rPr>
      </w:pPr>
      <w:r>
        <w:rPr>
          <w:rFonts w:hint="eastAsia" w:ascii="宋体" w:hAnsi="宋体"/>
        </w:rPr>
        <w:t>将导管经鼻腔插入胃内，从管内灌注流质食物、水分和药物的方法</w:t>
      </w:r>
      <w:r>
        <w:rPr>
          <w:rFonts w:ascii="宋体" w:hAnsi="宋体"/>
        </w:rPr>
        <w:t>。</w:t>
      </w:r>
    </w:p>
    <w:p w14:paraId="47394AE1">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3.18</w:t>
      </w:r>
    </w:p>
    <w:p w14:paraId="7BFA712D">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直肠灌注给药法  </w:t>
      </w:r>
    </w:p>
    <w:p w14:paraId="51D4CA93">
      <w:pPr>
        <w:spacing w:line="276" w:lineRule="auto"/>
        <w:ind w:firstLine="420" w:firstLineChars="200"/>
        <w:jc w:val="left"/>
        <w:rPr>
          <w:rFonts w:hint="eastAsia" w:ascii="宋体" w:hAnsi="宋体"/>
        </w:rPr>
      </w:pPr>
      <w:r>
        <w:rPr>
          <w:rFonts w:hint="eastAsia" w:ascii="宋体" w:hAnsi="宋体"/>
        </w:rPr>
        <w:t>将配制好的药液经插入肛门的肛管用注射器灌注并留置于肠腔，通过直接作用于患处及肠黏膜吸收等，以产生治疗效应的一种给药方法。</w:t>
      </w:r>
    </w:p>
    <w:p w14:paraId="6B6C53B9">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3.19</w:t>
      </w:r>
    </w:p>
    <w:p w14:paraId="35D4D6BF">
      <w:pPr>
        <w:spacing w:before="157" w:beforeLines="50" w:after="157" w:afterLines="50" w:line="276" w:lineRule="auto"/>
        <w:ind w:firstLine="420"/>
        <w:jc w:val="left"/>
        <w:rPr>
          <w:rFonts w:hint="eastAsia" w:ascii="黑体" w:hAnsi="黑体" w:eastAsia="黑体" w:cs="黑体"/>
        </w:rPr>
      </w:pPr>
      <w:r>
        <w:rPr>
          <w:rFonts w:hint="eastAsia" w:ascii="黑体" w:hAnsi="黑体" w:eastAsia="黑体" w:cs="黑体"/>
        </w:rPr>
        <w:t xml:space="preserve">直肠滴入给药法  </w:t>
      </w:r>
    </w:p>
    <w:p w14:paraId="413F1EA6">
      <w:pPr>
        <w:spacing w:line="276" w:lineRule="auto"/>
        <w:ind w:firstLine="420" w:firstLineChars="200"/>
        <w:jc w:val="left"/>
        <w:rPr>
          <w:rFonts w:hint="eastAsia" w:ascii="宋体" w:hAnsi="宋体"/>
        </w:rPr>
      </w:pPr>
      <w:r>
        <w:rPr>
          <w:rFonts w:hint="eastAsia" w:ascii="宋体" w:hAnsi="宋体"/>
        </w:rPr>
        <w:t>将消毒后的肛管或一次性直肠滴入导管塞入肛内到直肠，连接配制好的灌肠药袋，缓慢滴入，通过直肠黏膜的直接吸收，以治疗相应疾病的一种给药方法。</w:t>
      </w:r>
    </w:p>
    <w:p w14:paraId="2D87A82A">
      <w:pPr>
        <w:tabs>
          <w:tab w:val="left" w:pos="360"/>
          <w:tab w:val="left" w:pos="540"/>
        </w:tabs>
        <w:spacing w:before="157" w:beforeLines="50" w:after="157" w:afterLines="50" w:line="276" w:lineRule="auto"/>
        <w:outlineLvl w:val="9"/>
        <w:rPr>
          <w:rFonts w:hint="eastAsia" w:ascii="黑体" w:hAnsi="黑体" w:eastAsia="黑体"/>
        </w:rPr>
      </w:pPr>
      <w:r>
        <w:rPr>
          <w:rFonts w:hint="eastAsia" w:ascii="黑体" w:hAnsi="黑体" w:eastAsia="黑体"/>
        </w:rPr>
        <w:t>3.20</w:t>
      </w:r>
    </w:p>
    <w:p w14:paraId="484B0F46">
      <w:pPr>
        <w:spacing w:before="157" w:beforeLines="50" w:after="157" w:afterLines="50" w:line="276" w:lineRule="auto"/>
        <w:ind w:firstLine="420" w:firstLineChars="200"/>
        <w:jc w:val="left"/>
        <w:rPr>
          <w:rFonts w:hint="eastAsia" w:ascii="黑体" w:hAnsi="黑体" w:eastAsia="黑体" w:cs="黑体"/>
        </w:rPr>
      </w:pPr>
      <w:r>
        <w:rPr>
          <w:rFonts w:hint="eastAsia" w:ascii="黑体" w:hAnsi="黑体" w:eastAsia="黑体" w:cs="黑体"/>
        </w:rPr>
        <w:t xml:space="preserve">灌肠剂  </w:t>
      </w:r>
    </w:p>
    <w:p w14:paraId="0295DD3B">
      <w:pPr>
        <w:spacing w:line="276" w:lineRule="auto"/>
        <w:ind w:firstLine="420" w:firstLineChars="200"/>
        <w:jc w:val="left"/>
        <w:rPr>
          <w:rFonts w:hint="eastAsia" w:ascii="宋体" w:hAnsi="宋体"/>
        </w:rPr>
      </w:pPr>
      <w:r>
        <w:rPr>
          <w:rFonts w:hint="eastAsia" w:ascii="宋体" w:hAnsi="宋体"/>
        </w:rPr>
        <w:t>以治疗、诊断或提供营养为目的供直肠灌注用液体制剂，包括水性或油性溶液、乳状液和混悬液</w:t>
      </w:r>
      <w:r>
        <w:rPr>
          <w:rFonts w:hint="eastAsia" w:ascii="黑体" w:hAnsi="黑体" w:eastAsia="黑体" w:cs="黑体"/>
        </w:rPr>
        <w:t>。</w:t>
      </w:r>
    </w:p>
    <w:p w14:paraId="4A54CA05">
      <w:pPr>
        <w:spacing w:before="312" w:beforeLines="100" w:after="312" w:afterLines="100" w:line="276" w:lineRule="auto"/>
        <w:outlineLvl w:val="0"/>
        <w:rPr>
          <w:rFonts w:hint="eastAsia" w:ascii="黑体" w:hAnsi="黑体" w:eastAsia="黑体" w:cs="宋体"/>
          <w:szCs w:val="18"/>
        </w:rPr>
      </w:pPr>
      <w:bookmarkStart w:id="14" w:name="_Toc13551"/>
      <w:r>
        <w:rPr>
          <w:rFonts w:ascii="黑体" w:hAnsi="黑体" w:eastAsia="黑体" w:cs="宋体"/>
          <w:szCs w:val="18"/>
        </w:rPr>
        <w:t>4</w:t>
      </w:r>
      <w:r>
        <w:rPr>
          <w:rFonts w:hint="eastAsia" w:ascii="黑体" w:hAnsi="黑体" w:eastAsia="黑体" w:cs="宋体"/>
          <w:szCs w:val="18"/>
          <w:lang w:val="en-US" w:eastAsia="zh-CN"/>
        </w:rPr>
        <w:t xml:space="preserve"> </w:t>
      </w:r>
      <w:r>
        <w:rPr>
          <w:rFonts w:hint="eastAsia" w:ascii="黑体" w:hAnsi="黑体" w:eastAsia="黑体" w:cs="宋体"/>
          <w:szCs w:val="18"/>
        </w:rPr>
        <w:t>口服汤剂操作步骤与要求</w:t>
      </w:r>
      <w:bookmarkEnd w:id="14"/>
    </w:p>
    <w:p w14:paraId="31D6F464">
      <w:pPr>
        <w:tabs>
          <w:tab w:val="left" w:pos="360"/>
          <w:tab w:val="left" w:pos="540"/>
        </w:tabs>
        <w:spacing w:before="157" w:beforeLines="50" w:after="157" w:afterLines="50" w:line="276" w:lineRule="auto"/>
        <w:outlineLvl w:val="1"/>
        <w:rPr>
          <w:rFonts w:hint="eastAsia" w:ascii="黑体" w:hAnsi="黑体" w:eastAsia="黑体"/>
        </w:rPr>
      </w:pPr>
      <w:bookmarkStart w:id="15" w:name="_Toc372797478"/>
      <w:bookmarkStart w:id="16" w:name="_Toc10970"/>
      <w:bookmarkStart w:id="17" w:name="_Toc372796771"/>
      <w:r>
        <w:rPr>
          <w:rFonts w:hint="eastAsia" w:ascii="黑体" w:hAnsi="黑体" w:eastAsia="黑体"/>
        </w:rPr>
        <w:t>4.1</w:t>
      </w:r>
      <w:r>
        <w:rPr>
          <w:rFonts w:hint="eastAsia" w:ascii="黑体" w:hAnsi="黑体" w:eastAsia="黑体"/>
          <w:lang w:val="en-US" w:eastAsia="zh-CN"/>
        </w:rPr>
        <w:t xml:space="preserve"> </w:t>
      </w:r>
      <w:r>
        <w:rPr>
          <w:rFonts w:hint="eastAsia" w:ascii="黑体" w:hAnsi="黑体" w:eastAsia="黑体"/>
        </w:rPr>
        <w:t>煎煮方法</w:t>
      </w:r>
      <w:bookmarkEnd w:id="15"/>
      <w:bookmarkEnd w:id="16"/>
      <w:bookmarkEnd w:id="17"/>
    </w:p>
    <w:p w14:paraId="1E6A7141">
      <w:pPr>
        <w:pStyle w:val="12"/>
        <w:snapToGrid w:val="0"/>
        <w:spacing w:before="157" w:beforeLines="50" w:after="157" w:afterLines="50" w:line="276" w:lineRule="auto"/>
        <w:jc w:val="left"/>
        <w:outlineLvl w:val="9"/>
        <w:rPr>
          <w:rFonts w:hint="eastAsia" w:ascii="黑体" w:hAnsi="黑体" w:eastAsia="黑体"/>
          <w:b w:val="0"/>
          <w:sz w:val="21"/>
        </w:rPr>
      </w:pPr>
      <w:bookmarkStart w:id="18" w:name="_Toc372796772"/>
      <w:bookmarkStart w:id="19" w:name="_Toc372797479"/>
      <w:r>
        <w:rPr>
          <w:rFonts w:hint="eastAsia" w:ascii="黑体" w:hAnsi="黑体" w:eastAsia="黑体"/>
          <w:b w:val="0"/>
          <w:sz w:val="21"/>
        </w:rPr>
        <w:t>4.1.1  煎药器具</w:t>
      </w:r>
      <w:bookmarkEnd w:id="18"/>
      <w:bookmarkEnd w:id="19"/>
    </w:p>
    <w:p w14:paraId="748784AE">
      <w:pPr>
        <w:spacing w:line="276" w:lineRule="auto"/>
        <w:ind w:firstLine="420" w:firstLineChars="200"/>
        <w:rPr>
          <w:rFonts w:hint="eastAsia" w:ascii="宋体" w:hAnsi="宋体"/>
          <w:b/>
        </w:rPr>
      </w:pPr>
      <w:r>
        <w:rPr>
          <w:rFonts w:hint="eastAsia" w:ascii="宋体" w:hAnsi="宋体"/>
        </w:rPr>
        <w:t>砂锅、瓦罐、陶瓷、食品级不锈钢（304或316等）、玻璃、搪瓷等材料制成的带盖器具以及符</w:t>
      </w:r>
      <w:r>
        <w:rPr>
          <w:rFonts w:hint="default" w:ascii="Cambria" w:hAnsi="Cambria" w:cs="Cambria"/>
        </w:rPr>
        <w:t>合GB/T 30219-2013、ISO 18665</w:t>
      </w:r>
      <w:r>
        <w:rPr>
          <w:rFonts w:hint="eastAsia" w:ascii="宋体" w:hAnsi="宋体"/>
        </w:rPr>
        <w:t>标准的自动煎药机。</w:t>
      </w:r>
    </w:p>
    <w:p w14:paraId="0DF9FEA6">
      <w:pPr>
        <w:pStyle w:val="12"/>
        <w:snapToGrid w:val="0"/>
        <w:spacing w:before="157" w:beforeLines="50" w:after="157" w:afterLines="50" w:line="276" w:lineRule="auto"/>
        <w:jc w:val="left"/>
        <w:outlineLvl w:val="9"/>
        <w:rPr>
          <w:rFonts w:hint="eastAsia" w:ascii="黑体" w:hAnsi="黑体" w:eastAsia="黑体"/>
          <w:b w:val="0"/>
          <w:sz w:val="21"/>
        </w:rPr>
      </w:pPr>
      <w:bookmarkStart w:id="20" w:name="_Toc372797481"/>
      <w:bookmarkStart w:id="21" w:name="_Toc372796774"/>
      <w:r>
        <w:rPr>
          <w:rFonts w:hint="eastAsia" w:ascii="黑体" w:hAnsi="黑体" w:eastAsia="黑体"/>
          <w:b w:val="0"/>
          <w:sz w:val="21"/>
        </w:rPr>
        <w:t>4.1.2  煎煮前准备</w:t>
      </w:r>
      <w:bookmarkEnd w:id="20"/>
      <w:bookmarkEnd w:id="21"/>
    </w:p>
    <w:p w14:paraId="4AAAEE76">
      <w:pPr>
        <w:spacing w:line="276" w:lineRule="auto"/>
        <w:ind w:firstLine="420" w:firstLineChars="200"/>
        <w:rPr>
          <w:rFonts w:hint="eastAsia" w:ascii="宋体" w:hAnsi="宋体"/>
        </w:rPr>
      </w:pPr>
      <w:bookmarkStart w:id="22" w:name="_Toc372797482"/>
      <w:bookmarkStart w:id="23" w:name="_Toc372796775"/>
      <w:r>
        <w:t>将煎药罐洗净，药材饮片或粗末倒入罐内，加</w:t>
      </w:r>
      <w:r>
        <w:rPr>
          <w:rFonts w:hint="eastAsia"/>
          <w:highlight w:val="none"/>
        </w:rPr>
        <w:t>符合</w:t>
      </w:r>
      <w:r>
        <w:rPr>
          <w:rFonts w:hint="eastAsia"/>
          <w:highlight w:val="none"/>
          <w:lang w:val="en-US" w:eastAsia="zh-CN"/>
        </w:rPr>
        <w:t>所在国家</w:t>
      </w:r>
      <w:r>
        <w:rPr>
          <w:rFonts w:hint="eastAsia"/>
          <w:highlight w:val="none"/>
        </w:rPr>
        <w:t>卫生标准</w:t>
      </w:r>
      <w:r>
        <w:rPr>
          <w:rFonts w:hint="eastAsia"/>
        </w:rPr>
        <w:t>的饮用水</w:t>
      </w:r>
      <w:r>
        <w:t>适量，</w:t>
      </w:r>
      <w:r>
        <w:rPr>
          <w:rFonts w:hint="eastAsia"/>
        </w:rPr>
        <w:t>浸泡时间一般不少于30 min（滋补剂、矿石及介壳类应延长至45 min～60 min），以药物充分浸透为度。加水量以高出药面2 cm～3 cm为宜（解表剂约高出1 cm～2 cm，滋补剂、花草类及煎煮时间较长者约高出3 cm～5 cm）。</w:t>
      </w:r>
      <w:bookmarkEnd w:id="22"/>
      <w:bookmarkEnd w:id="23"/>
    </w:p>
    <w:p w14:paraId="1A8AFBA3">
      <w:pPr>
        <w:pStyle w:val="12"/>
        <w:snapToGrid w:val="0"/>
        <w:spacing w:before="157" w:beforeLines="50" w:after="157" w:afterLines="50" w:line="276" w:lineRule="auto"/>
        <w:jc w:val="left"/>
        <w:outlineLvl w:val="9"/>
        <w:rPr>
          <w:rFonts w:hint="eastAsia" w:ascii="黑体" w:hAnsi="黑体" w:eastAsia="黑体"/>
          <w:b w:val="0"/>
          <w:sz w:val="21"/>
        </w:rPr>
      </w:pPr>
      <w:bookmarkStart w:id="24" w:name="_Toc372797483"/>
      <w:bookmarkStart w:id="25" w:name="_Toc372796776"/>
      <w:r>
        <w:rPr>
          <w:rFonts w:hint="eastAsia" w:ascii="黑体" w:hAnsi="黑体" w:eastAsia="黑体"/>
          <w:b w:val="0"/>
          <w:sz w:val="21"/>
        </w:rPr>
        <w:t>4.1.3  煎煮方法</w:t>
      </w:r>
      <w:bookmarkEnd w:id="24"/>
      <w:bookmarkEnd w:id="25"/>
    </w:p>
    <w:p w14:paraId="60E45CBA">
      <w:pPr>
        <w:spacing w:line="276" w:lineRule="auto"/>
        <w:ind w:firstLine="420" w:firstLineChars="200"/>
      </w:pPr>
      <w:bookmarkStart w:id="26" w:name="_Toc372797484"/>
      <w:bookmarkStart w:id="27" w:name="_Toc372796777"/>
      <w:r>
        <w:t>将加水药罐置炉火上加热，先武火煮开，再文火继续加热。</w:t>
      </w:r>
      <w:r>
        <w:rPr>
          <w:rFonts w:hint="eastAsia"/>
        </w:rPr>
        <w:t>一般药物煮沸后再煎煮20 min～30 min；解表、清热、芳香类药物不宜久煎，煮沸后再煎煮15 min～20 min；滋补药物先用武火煮沸后，改用文火慢煎30 min～60 min。第二煎煎煮时间应比第一煎缩短5-10分钟。煎药过程中应搅拌药料2～3次，搅拌用具以陶瓷、食品级不锈钢等材料制作的棍棒及竹筷等为宜。煎毕去火，药液通过小药筛滤入洁净容器内。</w:t>
      </w:r>
      <w:bookmarkEnd w:id="26"/>
      <w:bookmarkEnd w:id="27"/>
    </w:p>
    <w:p w14:paraId="33C63479">
      <w:pPr>
        <w:spacing w:line="276" w:lineRule="auto"/>
        <w:ind w:firstLine="420" w:firstLineChars="200"/>
      </w:pPr>
      <w:bookmarkStart w:id="28" w:name="_Toc372796778"/>
      <w:bookmarkStart w:id="29" w:name="_Toc372797485"/>
      <w:r>
        <w:rPr>
          <w:rFonts w:hint="eastAsia"/>
        </w:rPr>
        <w:t>凡注明先煎、后下、另煎、烊化、包煎、煎汤代水等特殊要求的药物，应按医嘱或相关规范执行。</w:t>
      </w:r>
    </w:p>
    <w:p w14:paraId="55D7C4D2">
      <w:pPr>
        <w:spacing w:line="276" w:lineRule="auto"/>
        <w:ind w:firstLine="420" w:firstLineChars="200"/>
      </w:pPr>
      <w:r>
        <w:rPr>
          <w:rFonts w:hint="eastAsia"/>
        </w:rPr>
        <w:t>先煎：矿物类、贝壳类、角甲类及需减毒增效中药应根据经验及规范煎煮30min或以上，再加入已浸泡的其他药物同煎。</w:t>
      </w:r>
    </w:p>
    <w:p w14:paraId="51A69556">
      <w:pPr>
        <w:spacing w:line="276" w:lineRule="auto"/>
        <w:ind w:firstLine="420" w:firstLineChars="200"/>
      </w:pPr>
      <w:r>
        <w:rPr>
          <w:rFonts w:hint="eastAsia"/>
        </w:rPr>
        <w:t>后下：芳香类、含挥发油多的饮片应在第一煎结束前5 min～10 min加入；久煎易破坏有效成分的饮片应在第二煎结束前加入。</w:t>
      </w:r>
    </w:p>
    <w:p w14:paraId="7EBBF767">
      <w:pPr>
        <w:spacing w:line="276" w:lineRule="auto"/>
        <w:ind w:firstLine="420" w:firstLineChars="200"/>
      </w:pPr>
      <w:r>
        <w:rPr>
          <w:rFonts w:hint="eastAsia"/>
        </w:rPr>
        <w:t>另煎（另炖）：贵重饮片应切薄片。另煎者煎煮2次，每次1 h，取汁；另炖者加饮用水（药量10倍）隔水炖2 h～3 h，取汁。所煎（炖）药汁应与其他药汁混匀后服用。</w:t>
      </w:r>
    </w:p>
    <w:p w14:paraId="0C0F3198">
      <w:pPr>
        <w:spacing w:line="276" w:lineRule="auto"/>
        <w:ind w:firstLine="420" w:firstLineChars="200"/>
      </w:pPr>
      <w:r>
        <w:rPr>
          <w:rFonts w:hint="eastAsia"/>
        </w:rPr>
        <w:t>烊化（溶化）：胶类药物应打碎，在其余药物煎好去渣的药液中文火煎煮，不断搅拌至溶解，或单独用黄酒/饮用水加热烊化后兑入。易溶药物可直接溶入药液。</w:t>
      </w:r>
    </w:p>
    <w:p w14:paraId="3DEE3B68">
      <w:pPr>
        <w:spacing w:line="276" w:lineRule="auto"/>
        <w:ind w:firstLine="420" w:firstLineChars="200"/>
      </w:pPr>
      <w:r>
        <w:rPr>
          <w:rFonts w:hint="eastAsia"/>
        </w:rPr>
        <w:t>包煎：装入符合药用要求（对人体无害）、有滤过功能并保证药液交换的包煎袋后同煎。需包煎者包括含淀粉或黏液质多、漂浮或沉底、带绒毛、易使药液浑浊的饮片。</w:t>
      </w:r>
    </w:p>
    <w:p w14:paraId="7769DE8B">
      <w:pPr>
        <w:spacing w:line="276" w:lineRule="auto"/>
        <w:ind w:firstLine="420" w:firstLineChars="200"/>
      </w:pPr>
      <w:r>
        <w:rPr>
          <w:rFonts w:hint="eastAsia"/>
        </w:rPr>
        <w:t>煎汤代水：将某些药料先煎煮15 min～25 min后，去渣取汁，用所得药汁代替饮用水来煎煮方中的其他药物。</w:t>
      </w:r>
      <w:bookmarkEnd w:id="28"/>
      <w:bookmarkEnd w:id="29"/>
    </w:p>
    <w:p w14:paraId="338B6B90">
      <w:pPr>
        <w:spacing w:line="276" w:lineRule="auto"/>
        <w:ind w:firstLine="420" w:firstLineChars="200"/>
      </w:pPr>
      <w:bookmarkStart w:id="30" w:name="_Toc372796779"/>
      <w:bookmarkStart w:id="31" w:name="_Toc372797486"/>
      <w:r>
        <w:t>每剂药煎煮2次。</w:t>
      </w:r>
      <w:bookmarkEnd w:id="30"/>
      <w:bookmarkEnd w:id="31"/>
    </w:p>
    <w:p w14:paraId="06AA50E7">
      <w:pPr>
        <w:spacing w:line="276" w:lineRule="auto"/>
        <w:ind w:firstLine="420" w:firstLineChars="200"/>
      </w:pPr>
      <w:bookmarkStart w:id="32" w:name="_Toc372796780"/>
      <w:bookmarkStart w:id="33" w:name="_Toc372797487"/>
      <w:r>
        <w:t>每剂药煎出</w:t>
      </w:r>
      <w:r>
        <w:rPr>
          <w:rFonts w:hint="eastAsia"/>
        </w:rPr>
        <w:t>供服用</w:t>
      </w:r>
      <w:r>
        <w:t>的药</w:t>
      </w:r>
      <w:r>
        <w:rPr>
          <w:rFonts w:hint="eastAsia"/>
        </w:rPr>
        <w:t>液总</w:t>
      </w:r>
      <w:r>
        <w:t>量</w:t>
      </w:r>
      <w:r>
        <w:rPr>
          <w:rFonts w:hint="eastAsia"/>
        </w:rPr>
        <w:t>：28天及以下患儿</w:t>
      </w:r>
      <w:r>
        <w:t>10mL～30mL，</w:t>
      </w:r>
      <w:r>
        <w:rPr>
          <w:rFonts w:hint="eastAsia"/>
        </w:rPr>
        <w:t>28天至1岁患儿</w:t>
      </w:r>
      <w:r>
        <w:t>50mL～l00mL，</w:t>
      </w:r>
      <w:r>
        <w:rPr>
          <w:rFonts w:hint="eastAsia"/>
        </w:rPr>
        <w:t>1至6岁患儿</w:t>
      </w:r>
      <w:r>
        <w:t>150mL～250mL，</w:t>
      </w:r>
      <w:r>
        <w:rPr>
          <w:rFonts w:hint="eastAsia"/>
        </w:rPr>
        <w:t>6岁以上患儿</w:t>
      </w:r>
      <w:r>
        <w:t>250mL～400mL。</w:t>
      </w:r>
      <w:bookmarkEnd w:id="32"/>
      <w:bookmarkEnd w:id="33"/>
    </w:p>
    <w:p w14:paraId="4EEE5C5F">
      <w:pPr>
        <w:tabs>
          <w:tab w:val="left" w:pos="360"/>
          <w:tab w:val="left" w:pos="540"/>
        </w:tabs>
        <w:spacing w:before="157" w:beforeLines="50" w:after="157" w:afterLines="50" w:line="276" w:lineRule="auto"/>
        <w:outlineLvl w:val="1"/>
        <w:rPr>
          <w:rFonts w:hint="eastAsia" w:ascii="黑体" w:hAnsi="黑体" w:eastAsia="黑体"/>
        </w:rPr>
      </w:pPr>
      <w:bookmarkStart w:id="34" w:name="_Toc372796781"/>
      <w:bookmarkStart w:id="35" w:name="_Toc372797488"/>
      <w:bookmarkStart w:id="36" w:name="_Toc15465"/>
      <w:r>
        <w:rPr>
          <w:rFonts w:hint="eastAsia" w:ascii="黑体" w:hAnsi="黑体" w:eastAsia="黑体"/>
        </w:rPr>
        <w:t>4.2</w:t>
      </w:r>
      <w:r>
        <w:rPr>
          <w:rFonts w:hint="eastAsia" w:ascii="黑体" w:hAnsi="黑体" w:eastAsia="黑体"/>
          <w:lang w:val="en-US" w:eastAsia="zh-CN"/>
        </w:rPr>
        <w:t xml:space="preserve"> </w:t>
      </w:r>
      <w:r>
        <w:rPr>
          <w:rFonts w:hint="eastAsia" w:ascii="黑体" w:hAnsi="黑体" w:eastAsia="黑体"/>
        </w:rPr>
        <w:t>儿科汤剂服药方法</w:t>
      </w:r>
      <w:bookmarkEnd w:id="34"/>
      <w:bookmarkEnd w:id="35"/>
      <w:bookmarkEnd w:id="36"/>
    </w:p>
    <w:p w14:paraId="295A9A08">
      <w:pPr>
        <w:pStyle w:val="12"/>
        <w:snapToGrid w:val="0"/>
        <w:spacing w:before="157" w:beforeLines="50" w:after="157" w:afterLines="50" w:line="276" w:lineRule="auto"/>
        <w:jc w:val="left"/>
        <w:outlineLvl w:val="9"/>
        <w:rPr>
          <w:rFonts w:hint="eastAsia" w:ascii="黑体" w:hAnsi="黑体" w:eastAsia="黑体"/>
          <w:b w:val="0"/>
          <w:sz w:val="21"/>
        </w:rPr>
      </w:pPr>
      <w:bookmarkStart w:id="37" w:name="_Toc372797489"/>
      <w:bookmarkStart w:id="38" w:name="_Toc372796782"/>
      <w:r>
        <w:rPr>
          <w:rFonts w:hint="eastAsia" w:ascii="黑体" w:hAnsi="黑体" w:eastAsia="黑体"/>
          <w:b w:val="0"/>
          <w:sz w:val="21"/>
        </w:rPr>
        <w:t>4.2.1  服药前准备</w:t>
      </w:r>
      <w:bookmarkEnd w:id="37"/>
      <w:bookmarkEnd w:id="38"/>
    </w:p>
    <w:p w14:paraId="13D3DF81">
      <w:pPr>
        <w:spacing w:line="276" w:lineRule="auto"/>
        <w:ind w:firstLine="420" w:firstLineChars="200"/>
        <w:rPr>
          <w:rFonts w:hint="eastAsia" w:ascii="宋体" w:hAnsi="宋体"/>
        </w:rPr>
      </w:pPr>
      <w:bookmarkStart w:id="39" w:name="_Toc372796783"/>
      <w:bookmarkStart w:id="40" w:name="_Toc372797490"/>
      <w:r>
        <w:rPr>
          <w:rFonts w:hint="eastAsia" w:ascii="宋体" w:hAnsi="宋体"/>
          <w:lang w:val="en-US" w:eastAsia="zh-CN"/>
        </w:rPr>
        <w:t xml:space="preserve">a) </w:t>
      </w:r>
      <w:r>
        <w:rPr>
          <w:rFonts w:hint="eastAsia" w:ascii="宋体" w:hAnsi="宋体"/>
        </w:rPr>
        <w:t>对3岁以上患儿尽量讲清道理，使其能主动配合服药。</w:t>
      </w:r>
      <w:bookmarkEnd w:id="39"/>
      <w:bookmarkEnd w:id="40"/>
    </w:p>
    <w:p w14:paraId="42320CFD">
      <w:pPr>
        <w:spacing w:line="276" w:lineRule="auto"/>
        <w:ind w:firstLine="420" w:firstLineChars="200"/>
      </w:pPr>
      <w:bookmarkStart w:id="41" w:name="_Toc372797491"/>
      <w:bookmarkStart w:id="42" w:name="_Toc372796784"/>
      <w:r>
        <w:rPr>
          <w:rFonts w:hint="eastAsia" w:ascii="宋体" w:hAnsi="宋体"/>
          <w:lang w:val="en-US" w:eastAsia="zh-CN"/>
        </w:rPr>
        <w:t xml:space="preserve">b) </w:t>
      </w:r>
      <w:r>
        <w:rPr>
          <w:rFonts w:hint="eastAsia" w:ascii="宋体" w:hAnsi="宋体"/>
        </w:rPr>
        <w:t>3岁以下患儿如不能配合服药，需由两人合作灌服药液。一人取坐位，将患儿抱于腿上，夹患儿腿于两腿之</w:t>
      </w:r>
      <w:r>
        <w:t>间，两手抱住患儿躯干和两上肢，固定其全身。另一人实施灌药。</w:t>
      </w:r>
      <w:bookmarkEnd w:id="41"/>
      <w:bookmarkEnd w:id="42"/>
    </w:p>
    <w:p w14:paraId="1529176F">
      <w:pPr>
        <w:spacing w:line="276" w:lineRule="auto"/>
        <w:ind w:firstLine="420" w:firstLineChars="200"/>
      </w:pPr>
      <w:bookmarkStart w:id="43" w:name="_Toc372796785"/>
      <w:bookmarkStart w:id="44" w:name="_Toc372797492"/>
      <w:r>
        <w:rPr>
          <w:rFonts w:hint="eastAsia"/>
          <w:lang w:val="en-US" w:eastAsia="zh-CN"/>
        </w:rPr>
        <w:t xml:space="preserve">c) </w:t>
      </w:r>
      <w:r>
        <w:t>将汤匙、药碗或喂药器放在桌上。药液味苦的可适量加糖。也可另置一碗，准备适量糖水或白开水。</w:t>
      </w:r>
      <w:bookmarkEnd w:id="43"/>
      <w:bookmarkEnd w:id="44"/>
    </w:p>
    <w:p w14:paraId="6474C8C6">
      <w:pPr>
        <w:spacing w:line="276" w:lineRule="auto"/>
        <w:ind w:firstLine="420" w:firstLineChars="200"/>
        <w:rPr>
          <w:rFonts w:hint="eastAsia" w:ascii="宋体" w:hAnsi="宋体"/>
        </w:rPr>
      </w:pPr>
      <w:bookmarkStart w:id="45" w:name="_Toc372797493"/>
      <w:bookmarkStart w:id="46" w:name="_Toc372796786"/>
      <w:r>
        <w:rPr>
          <w:rFonts w:hint="eastAsia"/>
          <w:lang w:val="en-US" w:eastAsia="zh-CN"/>
        </w:rPr>
        <w:t xml:space="preserve">d) </w:t>
      </w:r>
      <w:r>
        <w:t>药液温度应适当，一般在40℃左右，用于发汗解表的药液温度可在60℃左</w:t>
      </w:r>
      <w:r>
        <w:rPr>
          <w:rFonts w:hint="eastAsia" w:ascii="宋体" w:hAnsi="宋体"/>
        </w:rPr>
        <w:t>右。</w:t>
      </w:r>
      <w:bookmarkEnd w:id="45"/>
      <w:bookmarkEnd w:id="46"/>
    </w:p>
    <w:p w14:paraId="1DF213D8">
      <w:pPr>
        <w:pStyle w:val="12"/>
        <w:snapToGrid w:val="0"/>
        <w:spacing w:before="157" w:beforeLines="50" w:after="157" w:afterLines="50" w:line="276" w:lineRule="auto"/>
        <w:jc w:val="left"/>
        <w:outlineLvl w:val="9"/>
        <w:rPr>
          <w:rFonts w:hint="eastAsia" w:ascii="黑体" w:hAnsi="黑体" w:eastAsia="黑体"/>
          <w:b w:val="0"/>
          <w:sz w:val="21"/>
        </w:rPr>
      </w:pPr>
      <w:bookmarkStart w:id="47" w:name="_Toc372796787"/>
      <w:bookmarkStart w:id="48" w:name="_Toc372797494"/>
      <w:r>
        <w:rPr>
          <w:rFonts w:hint="eastAsia" w:ascii="黑体" w:hAnsi="黑体" w:eastAsia="黑体"/>
          <w:b w:val="0"/>
          <w:sz w:val="21"/>
        </w:rPr>
        <w:t xml:space="preserve">4.2.2  </w:t>
      </w:r>
      <w:r>
        <w:rPr>
          <w:rFonts w:hint="eastAsia" w:ascii="黑体" w:hAnsi="黑体" w:eastAsia="黑体" w:cs="Times New Roman"/>
          <w:b w:val="0"/>
          <w:sz w:val="21"/>
        </w:rPr>
        <w:t>3岁以上患儿</w:t>
      </w:r>
      <w:r>
        <w:rPr>
          <w:rFonts w:hint="eastAsia" w:ascii="黑体" w:hAnsi="黑体" w:eastAsia="黑体"/>
          <w:b w:val="0"/>
          <w:sz w:val="21"/>
        </w:rPr>
        <w:t>服药方法</w:t>
      </w:r>
      <w:bookmarkEnd w:id="47"/>
      <w:bookmarkEnd w:id="48"/>
    </w:p>
    <w:p w14:paraId="6AF01890">
      <w:pPr>
        <w:spacing w:line="276" w:lineRule="auto"/>
        <w:ind w:firstLine="420" w:firstLineChars="200"/>
      </w:pPr>
      <w:bookmarkStart w:id="49" w:name="_Toc372796788"/>
      <w:bookmarkStart w:id="50" w:name="_Toc372797495"/>
      <w:r>
        <w:rPr>
          <w:rFonts w:hint="eastAsia" w:ascii="宋体" w:hAnsi="宋体"/>
          <w:lang w:val="en-US" w:eastAsia="zh-CN"/>
        </w:rPr>
        <w:t xml:space="preserve">a) </w:t>
      </w:r>
      <w:r>
        <w:rPr>
          <w:rFonts w:hint="eastAsia" w:ascii="宋体" w:hAnsi="宋体"/>
        </w:rPr>
        <w:t>尽量由患儿自</w:t>
      </w:r>
      <w:r>
        <w:t>己服药，服药后可饮适量糖水或白开水矫正口味。</w:t>
      </w:r>
      <w:bookmarkEnd w:id="49"/>
      <w:bookmarkEnd w:id="50"/>
    </w:p>
    <w:p w14:paraId="17EB3703">
      <w:pPr>
        <w:spacing w:line="276" w:lineRule="auto"/>
        <w:ind w:firstLine="420" w:firstLineChars="200"/>
        <w:rPr>
          <w:rFonts w:hint="eastAsia" w:ascii="宋体" w:hAnsi="宋体"/>
        </w:rPr>
      </w:pPr>
      <w:bookmarkStart w:id="51" w:name="_Toc372796789"/>
      <w:bookmarkStart w:id="52" w:name="_Toc372797496"/>
      <w:r>
        <w:rPr>
          <w:rFonts w:hint="eastAsia"/>
          <w:lang w:val="en-US" w:eastAsia="zh-CN"/>
        </w:rPr>
        <w:t xml:space="preserve">b) </w:t>
      </w:r>
      <w:r>
        <w:t>每日1剂方药经两次煎煮出的药液，根据病情，分为2～4次服用。一般急性病需服药3～4次，慢性病可分2～3次服用。每次服药</w:t>
      </w:r>
      <w:r>
        <w:rPr>
          <w:rFonts w:hint="eastAsia" w:ascii="宋体" w:hAnsi="宋体"/>
        </w:rPr>
        <w:t>量少者可增加服药次数。</w:t>
      </w:r>
      <w:bookmarkEnd w:id="51"/>
      <w:bookmarkEnd w:id="52"/>
    </w:p>
    <w:p w14:paraId="35AA3ABE">
      <w:pPr>
        <w:pStyle w:val="12"/>
        <w:snapToGrid w:val="0"/>
        <w:spacing w:before="157" w:beforeLines="50" w:after="157" w:afterLines="50" w:line="276" w:lineRule="auto"/>
        <w:jc w:val="left"/>
        <w:outlineLvl w:val="9"/>
        <w:rPr>
          <w:rFonts w:hint="eastAsia" w:ascii="黑体" w:hAnsi="黑体" w:eastAsia="黑体"/>
          <w:b w:val="0"/>
          <w:sz w:val="21"/>
        </w:rPr>
      </w:pPr>
      <w:bookmarkStart w:id="53" w:name="_Toc372797497"/>
      <w:bookmarkStart w:id="54" w:name="_Toc372796790"/>
      <w:r>
        <w:rPr>
          <w:rFonts w:hint="eastAsia" w:ascii="黑体" w:hAnsi="黑体" w:eastAsia="黑体"/>
          <w:b w:val="0"/>
          <w:sz w:val="21"/>
        </w:rPr>
        <w:t>4.2.3  28天至3岁患儿服药方法</w:t>
      </w:r>
      <w:bookmarkEnd w:id="53"/>
      <w:bookmarkEnd w:id="54"/>
    </w:p>
    <w:p w14:paraId="5E9C5DE5">
      <w:pPr>
        <w:spacing w:line="276" w:lineRule="auto"/>
        <w:ind w:firstLine="420" w:firstLineChars="200"/>
      </w:pPr>
      <w:r>
        <w:rPr>
          <w:rFonts w:hint="eastAsia"/>
        </w:rPr>
        <w:t>3岁以下及其他不肯配合服药的患儿，需先如前法（4.2.1）固定全身，将患儿置于直立或半直立位置。将喂药器或滴管尖端伸入口内至近舌根部，缓慢释放药物。让患儿自然吞咽。不要强迫药物下咽，以免呛药，甚至引起窒息。如果患儿30min内呕吐，仅在保留少于一半时重复剂量给药。如需要，确保全剂量服用后喂适量白开水或糖水。</w:t>
      </w:r>
    </w:p>
    <w:p w14:paraId="2FCAEFFC">
      <w:pPr>
        <w:pStyle w:val="12"/>
        <w:snapToGrid w:val="0"/>
        <w:spacing w:before="157" w:beforeLines="50" w:after="157" w:afterLines="50" w:line="276" w:lineRule="auto"/>
        <w:jc w:val="left"/>
        <w:outlineLvl w:val="9"/>
        <w:rPr>
          <w:rFonts w:hint="eastAsia" w:ascii="黑体" w:hAnsi="黑体" w:eastAsia="黑体"/>
          <w:b w:val="0"/>
          <w:sz w:val="21"/>
        </w:rPr>
      </w:pPr>
      <w:bookmarkStart w:id="55" w:name="_Toc372797499"/>
      <w:bookmarkStart w:id="56" w:name="_Toc372796792"/>
      <w:r>
        <w:rPr>
          <w:rFonts w:hint="eastAsia" w:ascii="黑体" w:hAnsi="黑体" w:eastAsia="黑体"/>
          <w:b w:val="0"/>
          <w:sz w:val="21"/>
        </w:rPr>
        <w:t>4.2.4  28天以下患儿服药方法</w:t>
      </w:r>
      <w:bookmarkEnd w:id="55"/>
      <w:bookmarkEnd w:id="56"/>
    </w:p>
    <w:p w14:paraId="17656F91">
      <w:pPr>
        <w:spacing w:line="276" w:lineRule="auto"/>
        <w:ind w:firstLine="420" w:firstLineChars="200"/>
      </w:pPr>
      <w:bookmarkStart w:id="57" w:name="_Toc372797500"/>
      <w:bookmarkStart w:id="58" w:name="_Toc372796793"/>
      <w:r>
        <w:t>控制喂药量，</w:t>
      </w:r>
      <w:r>
        <w:rPr>
          <w:rFonts w:hint="eastAsia"/>
        </w:rPr>
        <w:t>28天以下足月患儿</w:t>
      </w:r>
      <w:r>
        <w:t>每次3mL～5mL，早产小样儿每次1mL～3mL，1日总量分多次完成。喂药方法参照</w:t>
      </w:r>
      <w:r>
        <w:rPr>
          <w:rFonts w:hint="eastAsia"/>
        </w:rPr>
        <w:t>28天至3岁患儿</w:t>
      </w:r>
      <w:r>
        <w:t>。</w:t>
      </w:r>
      <w:bookmarkEnd w:id="57"/>
      <w:bookmarkEnd w:id="58"/>
    </w:p>
    <w:p w14:paraId="2975B910">
      <w:pPr>
        <w:tabs>
          <w:tab w:val="left" w:pos="360"/>
          <w:tab w:val="left" w:pos="540"/>
        </w:tabs>
        <w:spacing w:before="312" w:beforeLines="100" w:after="312" w:afterLines="100" w:line="276" w:lineRule="auto"/>
        <w:outlineLvl w:val="0"/>
        <w:rPr>
          <w:rFonts w:hint="eastAsia" w:ascii="黑体" w:hAnsi="黑体" w:eastAsia="黑体"/>
        </w:rPr>
      </w:pPr>
      <w:bookmarkStart w:id="59" w:name="_Toc372797501"/>
      <w:bookmarkStart w:id="60" w:name="_Toc372796794"/>
      <w:bookmarkStart w:id="61" w:name="_Toc11387"/>
      <w:r>
        <w:rPr>
          <w:rFonts w:hint="eastAsia" w:ascii="黑体" w:hAnsi="黑体" w:eastAsia="黑体"/>
        </w:rPr>
        <w:t>5</w:t>
      </w:r>
      <w:r>
        <w:rPr>
          <w:rFonts w:hint="eastAsia" w:ascii="黑体" w:hAnsi="黑体" w:eastAsia="黑体"/>
          <w:lang w:val="en-US" w:eastAsia="zh-CN"/>
        </w:rPr>
        <w:t xml:space="preserve"> </w:t>
      </w:r>
      <w:r>
        <w:rPr>
          <w:rFonts w:hint="eastAsia" w:ascii="黑体" w:hAnsi="黑体" w:eastAsia="黑体"/>
        </w:rPr>
        <w:t>口服中成药操作步骤与要求</w:t>
      </w:r>
      <w:bookmarkEnd w:id="59"/>
      <w:bookmarkEnd w:id="60"/>
      <w:bookmarkEnd w:id="61"/>
    </w:p>
    <w:p w14:paraId="244954CF">
      <w:pPr>
        <w:tabs>
          <w:tab w:val="left" w:pos="360"/>
          <w:tab w:val="left" w:pos="540"/>
        </w:tabs>
        <w:spacing w:before="157" w:beforeLines="50" w:after="157" w:afterLines="50" w:line="276" w:lineRule="auto"/>
        <w:outlineLvl w:val="1"/>
        <w:rPr>
          <w:rFonts w:hint="eastAsia" w:ascii="黑体" w:hAnsi="黑体" w:eastAsia="黑体"/>
        </w:rPr>
      </w:pPr>
      <w:bookmarkStart w:id="62" w:name="_Toc372796795"/>
      <w:bookmarkStart w:id="63" w:name="_Toc372797502"/>
      <w:bookmarkStart w:id="64" w:name="_Toc12788"/>
      <w:r>
        <w:rPr>
          <w:rFonts w:hint="eastAsia" w:ascii="黑体" w:hAnsi="黑体" w:eastAsia="黑体"/>
        </w:rPr>
        <w:t>5.1</w:t>
      </w:r>
      <w:r>
        <w:rPr>
          <w:rFonts w:hint="eastAsia" w:ascii="黑体" w:hAnsi="黑体" w:eastAsia="黑体"/>
          <w:lang w:val="en-US" w:eastAsia="zh-CN"/>
        </w:rPr>
        <w:t xml:space="preserve"> </w:t>
      </w:r>
      <w:r>
        <w:rPr>
          <w:rFonts w:hint="eastAsia" w:ascii="黑体" w:hAnsi="黑体" w:eastAsia="黑体"/>
        </w:rPr>
        <w:t>服药前准备</w:t>
      </w:r>
      <w:bookmarkEnd w:id="62"/>
      <w:bookmarkEnd w:id="63"/>
      <w:bookmarkEnd w:id="64"/>
    </w:p>
    <w:p w14:paraId="2C47534E">
      <w:pPr>
        <w:spacing w:line="276" w:lineRule="auto"/>
        <w:ind w:firstLine="420" w:firstLineChars="200"/>
        <w:rPr>
          <w:rFonts w:hint="eastAsia" w:ascii="宋体" w:hAnsi="宋体"/>
        </w:rPr>
      </w:pPr>
      <w:bookmarkStart w:id="65" w:name="_Toc372797503"/>
      <w:bookmarkStart w:id="66" w:name="_Toc372796796"/>
      <w:r>
        <w:rPr>
          <w:rFonts w:hint="eastAsia" w:ascii="宋体" w:hAnsi="宋体"/>
          <w:lang w:val="en-US" w:eastAsia="zh-CN"/>
        </w:rPr>
        <w:t xml:space="preserve">a) </w:t>
      </w:r>
      <w:r>
        <w:rPr>
          <w:rFonts w:hint="eastAsia" w:ascii="宋体" w:hAnsi="宋体"/>
        </w:rPr>
        <w:t>对3至6岁患儿尽量讲清道理，使其能主动配合服药。</w:t>
      </w:r>
      <w:bookmarkEnd w:id="65"/>
      <w:bookmarkEnd w:id="66"/>
    </w:p>
    <w:p w14:paraId="4753A377">
      <w:pPr>
        <w:spacing w:line="276" w:lineRule="auto"/>
        <w:ind w:firstLine="420" w:firstLineChars="200"/>
        <w:rPr>
          <w:rFonts w:hint="eastAsia" w:ascii="宋体" w:hAnsi="宋体"/>
        </w:rPr>
      </w:pPr>
      <w:bookmarkStart w:id="67" w:name="_Toc372796797"/>
      <w:bookmarkStart w:id="68" w:name="_Toc372797504"/>
      <w:r>
        <w:rPr>
          <w:rFonts w:hint="eastAsia" w:ascii="宋体" w:hAnsi="宋体"/>
          <w:lang w:val="en-US" w:eastAsia="zh-CN"/>
        </w:rPr>
        <w:t xml:space="preserve">b) </w:t>
      </w:r>
      <w:r>
        <w:rPr>
          <w:rFonts w:hint="eastAsia" w:ascii="宋体" w:hAnsi="宋体"/>
        </w:rPr>
        <w:t>3岁以下患儿如不能配合服药，需由两人合作灌服药液。一人取坐位，将患儿抱于腿上，夹患儿腿于两腿之间，两手抱住患儿躯干和两上肢，固定其全身。另一人实施灌药。</w:t>
      </w:r>
      <w:bookmarkEnd w:id="67"/>
      <w:bookmarkEnd w:id="68"/>
    </w:p>
    <w:p w14:paraId="6EB2D4AF">
      <w:pPr>
        <w:spacing w:line="276" w:lineRule="auto"/>
        <w:ind w:firstLine="420" w:firstLineChars="200"/>
        <w:rPr>
          <w:rFonts w:hint="eastAsia" w:ascii="宋体" w:hAnsi="宋体"/>
        </w:rPr>
      </w:pPr>
      <w:bookmarkStart w:id="69" w:name="_Toc372796798"/>
      <w:bookmarkStart w:id="70" w:name="_Toc372797505"/>
      <w:r>
        <w:rPr>
          <w:rFonts w:hint="eastAsia" w:ascii="宋体" w:hAnsi="宋体"/>
          <w:lang w:val="en-US" w:eastAsia="zh-CN"/>
        </w:rPr>
        <w:t xml:space="preserve">c) </w:t>
      </w:r>
      <w:r>
        <w:rPr>
          <w:rFonts w:hint="eastAsia" w:ascii="宋体" w:hAnsi="宋体"/>
        </w:rPr>
        <w:t>将汤匙、药物或灌服液体制剂的喂药器置于桌上。另置一碗，准备适量糖水或温开水。</w:t>
      </w:r>
      <w:bookmarkEnd w:id="69"/>
      <w:bookmarkEnd w:id="70"/>
    </w:p>
    <w:p w14:paraId="5D963037">
      <w:pPr>
        <w:tabs>
          <w:tab w:val="left" w:pos="360"/>
          <w:tab w:val="left" w:pos="540"/>
        </w:tabs>
        <w:spacing w:before="157" w:beforeLines="50" w:after="157" w:afterLines="50" w:line="276" w:lineRule="auto"/>
        <w:outlineLvl w:val="1"/>
        <w:rPr>
          <w:rFonts w:hint="eastAsia" w:ascii="黑体" w:hAnsi="黑体" w:eastAsia="黑体"/>
        </w:rPr>
      </w:pPr>
      <w:bookmarkStart w:id="71" w:name="_Toc372797506"/>
      <w:bookmarkStart w:id="72" w:name="_Toc372796799"/>
      <w:bookmarkStart w:id="73" w:name="_Toc5292"/>
      <w:r>
        <w:rPr>
          <w:rFonts w:hint="eastAsia" w:ascii="黑体" w:hAnsi="黑体" w:eastAsia="黑体"/>
        </w:rPr>
        <w:t>5.2</w:t>
      </w:r>
      <w:r>
        <w:rPr>
          <w:rFonts w:hint="eastAsia" w:ascii="黑体" w:hAnsi="黑体" w:eastAsia="黑体"/>
          <w:lang w:val="en-US" w:eastAsia="zh-CN"/>
        </w:rPr>
        <w:t xml:space="preserve"> </w:t>
      </w:r>
      <w:r>
        <w:rPr>
          <w:rFonts w:hint="eastAsia" w:ascii="黑体" w:hAnsi="黑体" w:eastAsia="黑体"/>
        </w:rPr>
        <w:t>服药方法</w:t>
      </w:r>
      <w:bookmarkEnd w:id="71"/>
      <w:bookmarkEnd w:id="72"/>
      <w:bookmarkEnd w:id="73"/>
    </w:p>
    <w:p w14:paraId="65C48485">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lang w:eastAsia="zh-CN"/>
        </w:rPr>
      </w:pPr>
      <w:bookmarkStart w:id="74" w:name="_Toc19989"/>
      <w:bookmarkStart w:id="75" w:name="_Toc372796800"/>
      <w:bookmarkStart w:id="76" w:name="_Toc372797507"/>
      <w:r>
        <w:rPr>
          <w:rFonts w:hint="eastAsia" w:ascii="黑体" w:hAnsi="黑体" w:eastAsia="黑体"/>
          <w:b w:val="0"/>
          <w:bCs/>
          <w:sz w:val="21"/>
        </w:rPr>
        <w:t xml:space="preserve">5.2.1  </w:t>
      </w:r>
      <w:r>
        <w:rPr>
          <w:rFonts w:hint="eastAsia" w:ascii="黑体" w:hAnsi="黑体" w:eastAsia="黑体"/>
          <w:b w:val="0"/>
          <w:bCs/>
          <w:sz w:val="21"/>
          <w:lang w:val="en-US" w:eastAsia="zh-CN"/>
        </w:rPr>
        <w:t>概述</w:t>
      </w:r>
      <w:bookmarkEnd w:id="74"/>
    </w:p>
    <w:p w14:paraId="3F1CDAA7">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pPr>
      <w:r>
        <w:rPr>
          <w:rFonts w:hint="eastAsia"/>
          <w:lang w:val="en-US" w:eastAsia="zh-CN"/>
        </w:rPr>
        <w:t xml:space="preserve">a) </w:t>
      </w:r>
      <w:r>
        <w:t>由护士或家长准备好药物。药液稠厚者加适量温开水稀释。</w:t>
      </w:r>
      <w:bookmarkEnd w:id="75"/>
      <w:bookmarkEnd w:id="76"/>
    </w:p>
    <w:p w14:paraId="50FD0791">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pPr>
      <w:bookmarkStart w:id="77" w:name="_Toc372796801"/>
      <w:bookmarkStart w:id="78" w:name="_Toc372797508"/>
      <w:r>
        <w:rPr>
          <w:rFonts w:hint="eastAsia"/>
          <w:lang w:val="en-US" w:eastAsia="zh-CN"/>
        </w:rPr>
        <w:t xml:space="preserve">b) </w:t>
      </w:r>
      <w:r>
        <w:rPr>
          <w:rFonts w:hint="eastAsia"/>
        </w:rPr>
        <w:t>3岁以上患儿</w:t>
      </w:r>
      <w:r>
        <w:t>尽量由自己服药，服药后可饮适量白开水或糖水。</w:t>
      </w:r>
      <w:bookmarkEnd w:id="77"/>
      <w:bookmarkEnd w:id="78"/>
    </w:p>
    <w:p w14:paraId="161829C8">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79" w:name="_Toc372796802"/>
      <w:bookmarkStart w:id="80" w:name="_Toc372797509"/>
      <w:r>
        <w:rPr>
          <w:rFonts w:hint="eastAsia"/>
          <w:lang w:val="en-US" w:eastAsia="zh-CN"/>
        </w:rPr>
        <w:t xml:space="preserve">c) </w:t>
      </w:r>
      <w:r>
        <w:rPr>
          <w:rFonts w:hint="eastAsia"/>
        </w:rPr>
        <w:t>3岁以下患儿</w:t>
      </w:r>
      <w:r>
        <w:t>须先如前法（5.1）固定全身，</w:t>
      </w:r>
      <w:r>
        <w:rPr>
          <w:rFonts w:hint="eastAsia"/>
        </w:rPr>
        <w:t>将患儿置于直立或半直立位置。将注射器或滴管尖端置于嘴侧、脸颊和牙龈之间，缓慢释放药物。让患儿自然吞咽。不要强迫下咽药物，以免引起窒息。如果患儿30min内呕吐，仅在保留少于一半时重复剂量。如需要，确保全剂量服用后喂适量白开水或糖水。</w:t>
      </w:r>
    </w:p>
    <w:bookmarkEnd w:id="79"/>
    <w:bookmarkEnd w:id="80"/>
    <w:p w14:paraId="19346A8A">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81" w:name="_Toc372796804"/>
      <w:bookmarkStart w:id="82" w:name="_Toc372797511"/>
      <w:bookmarkStart w:id="83" w:name="_Toc3032"/>
      <w:r>
        <w:rPr>
          <w:rFonts w:hint="eastAsia" w:ascii="黑体" w:hAnsi="黑体" w:eastAsia="黑体"/>
          <w:b w:val="0"/>
          <w:bCs/>
          <w:sz w:val="21"/>
        </w:rPr>
        <w:t>5.2.2  合剂（</w:t>
      </w:r>
      <w:r>
        <w:rPr>
          <w:rFonts w:hint="eastAsia" w:ascii="黑体" w:hAnsi="黑体" w:eastAsia="黑体" w:cs="Times New Roman"/>
          <w:b w:val="0"/>
          <w:bCs/>
          <w:sz w:val="21"/>
        </w:rPr>
        <w:t>口服液）服用方法</w:t>
      </w:r>
      <w:bookmarkEnd w:id="81"/>
      <w:bookmarkEnd w:id="82"/>
      <w:bookmarkEnd w:id="83"/>
    </w:p>
    <w:p w14:paraId="0AE7E4F6">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84" w:name="_Toc372796805"/>
      <w:bookmarkStart w:id="85" w:name="_Toc372797512"/>
      <w:r>
        <w:rPr>
          <w:rFonts w:hint="eastAsia" w:ascii="宋体" w:hAnsi="宋体"/>
          <w:lang w:val="en-US" w:eastAsia="zh-CN"/>
        </w:rPr>
        <w:t xml:space="preserve">a) </w:t>
      </w:r>
      <w:r>
        <w:rPr>
          <w:rFonts w:hint="eastAsia" w:ascii="宋体" w:hAnsi="宋体"/>
        </w:rPr>
        <w:t>将合剂按单次服用剂量倒入汤匙或吸入喂药器，按服药方法服用。</w:t>
      </w:r>
      <w:bookmarkEnd w:id="84"/>
      <w:bookmarkEnd w:id="85"/>
    </w:p>
    <w:p w14:paraId="7D476703">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86" w:name="_Toc372796806"/>
      <w:bookmarkStart w:id="87" w:name="_Toc372797513"/>
      <w:r>
        <w:rPr>
          <w:rFonts w:hint="eastAsia"/>
          <w:lang w:val="en-US" w:eastAsia="zh-CN"/>
        </w:rPr>
        <w:t xml:space="preserve">b) </w:t>
      </w:r>
      <w:r>
        <w:rPr>
          <w:rFonts w:hint="eastAsia"/>
        </w:rPr>
        <w:t>3岁以上患儿</w:t>
      </w:r>
      <w:r>
        <w:rPr>
          <w:rFonts w:hint="eastAsia" w:ascii="宋体" w:hAnsi="宋体"/>
        </w:rPr>
        <w:t>以及会使用吸管的3岁以下患儿服用口服液，可用吸管直接吸入药液。</w:t>
      </w:r>
      <w:bookmarkEnd w:id="86"/>
      <w:bookmarkEnd w:id="87"/>
    </w:p>
    <w:p w14:paraId="3747E064">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88" w:name="_Toc9500"/>
      <w:bookmarkStart w:id="89" w:name="_Toc372796807"/>
      <w:bookmarkStart w:id="90" w:name="_Toc372797514"/>
      <w:r>
        <w:rPr>
          <w:rFonts w:hint="eastAsia" w:ascii="黑体" w:hAnsi="黑体" w:eastAsia="黑体"/>
          <w:b w:val="0"/>
          <w:bCs/>
          <w:sz w:val="21"/>
        </w:rPr>
        <w:t>5.2.3  糖浆剂</w:t>
      </w:r>
      <w:r>
        <w:rPr>
          <w:rFonts w:hint="eastAsia" w:ascii="黑体" w:hAnsi="黑体" w:eastAsia="黑体" w:cs="Times New Roman"/>
          <w:b w:val="0"/>
          <w:bCs/>
          <w:sz w:val="21"/>
        </w:rPr>
        <w:t>服用方法</w:t>
      </w:r>
      <w:bookmarkEnd w:id="88"/>
      <w:bookmarkEnd w:id="89"/>
      <w:bookmarkEnd w:id="90"/>
    </w:p>
    <w:p w14:paraId="5B78315F">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91" w:name="_Toc372796808"/>
      <w:bookmarkStart w:id="92" w:name="_Toc372797515"/>
      <w:r>
        <w:rPr>
          <w:rFonts w:hint="eastAsia" w:ascii="宋体" w:hAnsi="宋体"/>
        </w:rPr>
        <w:t>将糖浆按单次服用剂量倒入汤匙或吸入喂药器，按服药方法服用。</w:t>
      </w:r>
      <w:bookmarkEnd w:id="91"/>
      <w:bookmarkEnd w:id="92"/>
    </w:p>
    <w:p w14:paraId="2D0AE992">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93" w:name="_Toc372797516"/>
      <w:bookmarkStart w:id="94" w:name="_Toc372796809"/>
      <w:bookmarkStart w:id="95" w:name="_Toc7251"/>
      <w:r>
        <w:rPr>
          <w:rFonts w:hint="eastAsia" w:ascii="黑体" w:hAnsi="黑体" w:eastAsia="黑体"/>
          <w:b w:val="0"/>
          <w:bCs/>
          <w:sz w:val="21"/>
        </w:rPr>
        <w:t>5.2.4  流浸膏剂</w:t>
      </w:r>
      <w:r>
        <w:rPr>
          <w:rFonts w:hint="eastAsia" w:ascii="黑体" w:hAnsi="黑体" w:eastAsia="黑体" w:cs="Times New Roman"/>
          <w:b w:val="0"/>
          <w:bCs/>
          <w:sz w:val="21"/>
        </w:rPr>
        <w:t>服用方法</w:t>
      </w:r>
      <w:bookmarkEnd w:id="93"/>
      <w:bookmarkEnd w:id="94"/>
      <w:bookmarkEnd w:id="95"/>
    </w:p>
    <w:p w14:paraId="16AF5AA3">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96" w:name="_Toc372796810"/>
      <w:bookmarkStart w:id="97" w:name="_Toc372797517"/>
      <w:r>
        <w:rPr>
          <w:rFonts w:hint="eastAsia" w:ascii="宋体" w:hAnsi="宋体"/>
        </w:rPr>
        <w:t>将流浸膏按单次服用剂量倒入汤匙或吸入喂药器，可加适量温开水稀释，按服药方法服用。</w:t>
      </w:r>
      <w:bookmarkEnd w:id="96"/>
      <w:bookmarkEnd w:id="97"/>
    </w:p>
    <w:p w14:paraId="6034D576">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98" w:name="_Toc372797518"/>
      <w:bookmarkStart w:id="99" w:name="_Toc32148"/>
      <w:bookmarkStart w:id="100" w:name="_Toc372796811"/>
      <w:r>
        <w:rPr>
          <w:rFonts w:hint="eastAsia" w:ascii="黑体" w:hAnsi="黑体" w:eastAsia="黑体"/>
          <w:b w:val="0"/>
          <w:bCs/>
          <w:sz w:val="21"/>
        </w:rPr>
        <w:t>5.2.5  酊剂</w:t>
      </w:r>
      <w:r>
        <w:rPr>
          <w:rFonts w:hint="eastAsia" w:ascii="黑体" w:hAnsi="黑体" w:eastAsia="黑体" w:cs="Times New Roman"/>
          <w:b w:val="0"/>
          <w:bCs/>
          <w:sz w:val="21"/>
        </w:rPr>
        <w:t>服用方法</w:t>
      </w:r>
      <w:bookmarkEnd w:id="98"/>
      <w:bookmarkEnd w:id="99"/>
      <w:bookmarkEnd w:id="100"/>
    </w:p>
    <w:p w14:paraId="65EDFD30">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01" w:name="_Toc372796812"/>
      <w:bookmarkStart w:id="102" w:name="_Toc372797519"/>
      <w:r>
        <w:rPr>
          <w:rFonts w:hint="eastAsia" w:ascii="宋体" w:hAnsi="宋体"/>
        </w:rPr>
        <w:t>将</w:t>
      </w:r>
      <w:r>
        <w:rPr>
          <w:rFonts w:ascii="宋体" w:hAnsi="宋体"/>
        </w:rPr>
        <w:t>酊剂</w:t>
      </w:r>
      <w:r>
        <w:rPr>
          <w:rFonts w:hint="eastAsia" w:ascii="宋体" w:hAnsi="宋体"/>
        </w:rPr>
        <w:t>按单次服用剂量倒入汤匙或吸入喂药器，药量少者可加适量温开水稀释，按服药方法服用。</w:t>
      </w:r>
      <w:bookmarkEnd w:id="101"/>
      <w:bookmarkEnd w:id="102"/>
    </w:p>
    <w:p w14:paraId="7616F4CC">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03" w:name="_Toc5454"/>
      <w:bookmarkStart w:id="104" w:name="_Toc372796813"/>
      <w:bookmarkStart w:id="105" w:name="_Toc372797520"/>
      <w:r>
        <w:rPr>
          <w:rFonts w:hint="eastAsia" w:ascii="黑体" w:hAnsi="黑体" w:eastAsia="黑体"/>
          <w:b w:val="0"/>
          <w:bCs/>
          <w:sz w:val="21"/>
        </w:rPr>
        <w:t>5.2.6  乳剂</w:t>
      </w:r>
      <w:r>
        <w:rPr>
          <w:rFonts w:hint="eastAsia" w:ascii="黑体" w:hAnsi="黑体" w:eastAsia="黑体" w:cs="Times New Roman"/>
          <w:b w:val="0"/>
          <w:bCs/>
          <w:sz w:val="21"/>
        </w:rPr>
        <w:t>服用方法</w:t>
      </w:r>
      <w:bookmarkEnd w:id="103"/>
      <w:bookmarkEnd w:id="104"/>
      <w:bookmarkEnd w:id="105"/>
    </w:p>
    <w:p w14:paraId="69BA388F">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06" w:name="_Toc372796814"/>
      <w:bookmarkStart w:id="107" w:name="_Toc372797521"/>
      <w:r>
        <w:rPr>
          <w:rFonts w:hint="eastAsia" w:ascii="宋体" w:hAnsi="宋体"/>
        </w:rPr>
        <w:t>将乳</w:t>
      </w:r>
      <w:r>
        <w:rPr>
          <w:rFonts w:ascii="宋体" w:hAnsi="宋体"/>
        </w:rPr>
        <w:t>剂</w:t>
      </w:r>
      <w:r>
        <w:rPr>
          <w:rFonts w:hint="eastAsia" w:ascii="宋体" w:hAnsi="宋体"/>
        </w:rPr>
        <w:t>按单次服用剂量倒入汤匙或吸入喂药器，药量少者可加适量温开水稀释，按服药方法服用。</w:t>
      </w:r>
      <w:bookmarkEnd w:id="106"/>
      <w:bookmarkEnd w:id="107"/>
    </w:p>
    <w:p w14:paraId="2818A8EE">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08" w:name="_Toc372796815"/>
      <w:bookmarkStart w:id="109" w:name="_Toc372797522"/>
      <w:bookmarkStart w:id="110" w:name="_Toc11034"/>
      <w:r>
        <w:rPr>
          <w:rFonts w:hint="eastAsia" w:ascii="黑体" w:hAnsi="黑体" w:eastAsia="黑体"/>
          <w:b w:val="0"/>
          <w:bCs/>
          <w:sz w:val="21"/>
        </w:rPr>
        <w:t>5.2.7  露剂</w:t>
      </w:r>
      <w:r>
        <w:rPr>
          <w:rFonts w:hint="eastAsia" w:ascii="黑体" w:hAnsi="黑体" w:eastAsia="黑体" w:cs="Times New Roman"/>
          <w:b w:val="0"/>
          <w:bCs/>
          <w:sz w:val="21"/>
        </w:rPr>
        <w:t>服用方法</w:t>
      </w:r>
      <w:bookmarkEnd w:id="108"/>
      <w:bookmarkEnd w:id="109"/>
      <w:bookmarkEnd w:id="110"/>
    </w:p>
    <w:p w14:paraId="55158A47">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11" w:name="_Toc372796816"/>
      <w:bookmarkStart w:id="112" w:name="_Toc372797523"/>
      <w:r>
        <w:rPr>
          <w:rFonts w:hint="eastAsia" w:ascii="宋体" w:hAnsi="宋体"/>
        </w:rPr>
        <w:t>将露</w:t>
      </w:r>
      <w:r>
        <w:rPr>
          <w:rFonts w:ascii="宋体" w:hAnsi="宋体"/>
        </w:rPr>
        <w:t>剂</w:t>
      </w:r>
      <w:r>
        <w:rPr>
          <w:rFonts w:hint="eastAsia" w:ascii="宋体" w:hAnsi="宋体"/>
        </w:rPr>
        <w:t>按单次服用剂量倒入汤匙或吸入喂药器，药量少者可加适量温开水稀释，按服药方法服用。</w:t>
      </w:r>
      <w:bookmarkEnd w:id="111"/>
      <w:bookmarkEnd w:id="112"/>
    </w:p>
    <w:p w14:paraId="36669B23">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13" w:name="_Toc25725"/>
      <w:bookmarkStart w:id="114" w:name="_Toc372796817"/>
      <w:bookmarkStart w:id="115" w:name="_Toc372797524"/>
      <w:r>
        <w:rPr>
          <w:rFonts w:hint="eastAsia" w:ascii="黑体" w:hAnsi="黑体" w:eastAsia="黑体"/>
          <w:b w:val="0"/>
          <w:bCs/>
          <w:sz w:val="21"/>
        </w:rPr>
        <w:t>5.2.8  煎膏剂</w:t>
      </w:r>
      <w:r>
        <w:rPr>
          <w:rFonts w:hint="eastAsia" w:ascii="黑体" w:hAnsi="黑体" w:eastAsia="黑体" w:cs="Times New Roman"/>
          <w:b w:val="0"/>
          <w:bCs/>
          <w:sz w:val="21"/>
        </w:rPr>
        <w:t>服用方法</w:t>
      </w:r>
      <w:bookmarkEnd w:id="113"/>
      <w:bookmarkEnd w:id="114"/>
      <w:bookmarkEnd w:id="115"/>
    </w:p>
    <w:p w14:paraId="195A6349">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16" w:name="_Toc372796818"/>
      <w:bookmarkStart w:id="117" w:name="_Toc372797525"/>
      <w:r>
        <w:rPr>
          <w:rFonts w:hint="eastAsia" w:ascii="宋体" w:hAnsi="宋体"/>
        </w:rPr>
        <w:t>将煎膏</w:t>
      </w:r>
      <w:r>
        <w:rPr>
          <w:rFonts w:ascii="宋体" w:hAnsi="宋体"/>
        </w:rPr>
        <w:t>剂</w:t>
      </w:r>
      <w:r>
        <w:rPr>
          <w:rFonts w:hint="eastAsia" w:ascii="宋体" w:hAnsi="宋体"/>
        </w:rPr>
        <w:t>按单次服用剂量倒入杯中，加入适量温开水稀释，按服药方法服用。</w:t>
      </w:r>
      <w:bookmarkEnd w:id="116"/>
      <w:bookmarkEnd w:id="117"/>
    </w:p>
    <w:p w14:paraId="3B9FABA1">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18" w:name="_Toc372797526"/>
      <w:bookmarkStart w:id="119" w:name="_Toc372796819"/>
      <w:bookmarkStart w:id="120" w:name="_Toc21234"/>
      <w:r>
        <w:rPr>
          <w:rFonts w:hint="eastAsia" w:ascii="黑体" w:hAnsi="黑体" w:eastAsia="黑体"/>
          <w:b w:val="0"/>
          <w:bCs/>
          <w:sz w:val="21"/>
        </w:rPr>
        <w:t>5.2.9  颗粒剂</w:t>
      </w:r>
      <w:r>
        <w:rPr>
          <w:rFonts w:hint="eastAsia" w:ascii="黑体" w:hAnsi="黑体" w:eastAsia="黑体" w:cs="Times New Roman"/>
          <w:b w:val="0"/>
          <w:bCs/>
          <w:sz w:val="21"/>
        </w:rPr>
        <w:t>服用方法</w:t>
      </w:r>
      <w:bookmarkEnd w:id="118"/>
      <w:bookmarkEnd w:id="119"/>
      <w:bookmarkEnd w:id="120"/>
    </w:p>
    <w:p w14:paraId="77881D98">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21" w:name="_Toc372797527"/>
      <w:bookmarkStart w:id="122" w:name="_Toc372796820"/>
      <w:r>
        <w:rPr>
          <w:rFonts w:hint="eastAsia" w:ascii="宋体" w:hAnsi="宋体"/>
          <w:lang w:val="en-US" w:eastAsia="zh-CN"/>
        </w:rPr>
        <w:t xml:space="preserve">a) </w:t>
      </w:r>
      <w:r>
        <w:rPr>
          <w:rFonts w:hint="eastAsia" w:ascii="宋体" w:hAnsi="宋体"/>
        </w:rPr>
        <w:t>将颗粒</w:t>
      </w:r>
      <w:r>
        <w:rPr>
          <w:rFonts w:ascii="宋体" w:hAnsi="宋体"/>
        </w:rPr>
        <w:t>剂</w:t>
      </w:r>
      <w:r>
        <w:rPr>
          <w:rFonts w:hint="eastAsia" w:ascii="宋体" w:hAnsi="宋体"/>
        </w:rPr>
        <w:t>按单次服用剂量倒入杯中，加温开水适量，用汤匙搅拌溶化。</w:t>
      </w:r>
      <w:bookmarkEnd w:id="121"/>
      <w:bookmarkEnd w:id="122"/>
    </w:p>
    <w:p w14:paraId="3BE455D1">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23" w:name="_Toc372796821"/>
      <w:bookmarkStart w:id="124" w:name="_Toc372797528"/>
      <w:r>
        <w:rPr>
          <w:rFonts w:hint="eastAsia" w:ascii="宋体" w:hAnsi="宋体"/>
          <w:lang w:val="en-US" w:eastAsia="zh-CN"/>
        </w:rPr>
        <w:t xml:space="preserve">b) </w:t>
      </w:r>
      <w:r>
        <w:rPr>
          <w:rFonts w:hint="eastAsia" w:ascii="宋体" w:hAnsi="宋体"/>
        </w:rPr>
        <w:t>将药液倒入汤匙或吸入喂药器，按服药方法服用。</w:t>
      </w:r>
      <w:bookmarkEnd w:id="123"/>
      <w:bookmarkEnd w:id="124"/>
    </w:p>
    <w:p w14:paraId="41BD07AB">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cs="Times New Roman"/>
          <w:b w:val="0"/>
          <w:bCs/>
          <w:sz w:val="21"/>
        </w:rPr>
      </w:pPr>
      <w:bookmarkStart w:id="125" w:name="_Toc372797529"/>
      <w:bookmarkStart w:id="126" w:name="_Toc372796822"/>
      <w:bookmarkStart w:id="127" w:name="_Toc22249"/>
      <w:r>
        <w:rPr>
          <w:rFonts w:hint="eastAsia" w:ascii="黑体" w:hAnsi="黑体" w:eastAsia="黑体"/>
          <w:b w:val="0"/>
          <w:bCs/>
          <w:sz w:val="21"/>
        </w:rPr>
        <w:t>5.2.10  片剂（含片、咀嚼片）</w:t>
      </w:r>
      <w:r>
        <w:rPr>
          <w:rFonts w:hint="eastAsia" w:ascii="黑体" w:hAnsi="黑体" w:eastAsia="黑体" w:cs="Times New Roman"/>
          <w:b w:val="0"/>
          <w:bCs/>
          <w:sz w:val="21"/>
        </w:rPr>
        <w:t>服用方法</w:t>
      </w:r>
      <w:bookmarkEnd w:id="125"/>
      <w:bookmarkEnd w:id="126"/>
      <w:bookmarkEnd w:id="127"/>
    </w:p>
    <w:p w14:paraId="0BDC15AC">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28" w:name="_Toc372796823"/>
      <w:bookmarkStart w:id="129" w:name="_Toc372797530"/>
      <w:r>
        <w:rPr>
          <w:rFonts w:hint="eastAsia" w:ascii="宋体" w:hAnsi="宋体"/>
          <w:lang w:val="en-US" w:eastAsia="zh-CN"/>
        </w:rPr>
        <w:t xml:space="preserve">a) </w:t>
      </w:r>
      <w:r>
        <w:rPr>
          <w:rFonts w:hint="eastAsia" w:ascii="宋体" w:hAnsi="宋体"/>
        </w:rPr>
        <w:t>6岁以上患儿可直接服入片剂，随即饮温开水送服。药片体积大者可掰开成数小块分服。</w:t>
      </w:r>
      <w:bookmarkEnd w:id="128"/>
      <w:bookmarkEnd w:id="129"/>
    </w:p>
    <w:p w14:paraId="15382634">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30" w:name="_Toc372797531"/>
      <w:bookmarkStart w:id="131" w:name="_Toc372796824"/>
      <w:r>
        <w:rPr>
          <w:rFonts w:hint="eastAsia" w:ascii="宋体" w:hAnsi="宋体"/>
          <w:lang w:val="en-US" w:eastAsia="zh-CN"/>
        </w:rPr>
        <w:t xml:space="preserve">b) </w:t>
      </w:r>
      <w:r>
        <w:rPr>
          <w:rFonts w:hint="eastAsia" w:ascii="宋体" w:hAnsi="宋体"/>
        </w:rPr>
        <w:t>含片嘱患儿不要一次吞入，应含于口腔中，让药物缓慢溶解。</w:t>
      </w:r>
      <w:bookmarkEnd w:id="130"/>
      <w:bookmarkEnd w:id="131"/>
    </w:p>
    <w:p w14:paraId="261E4DA4">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32" w:name="_Toc372797532"/>
      <w:bookmarkStart w:id="133" w:name="_Toc372796825"/>
      <w:r>
        <w:rPr>
          <w:rFonts w:hint="eastAsia" w:ascii="宋体" w:hAnsi="宋体"/>
          <w:lang w:val="en-US" w:eastAsia="zh-CN"/>
        </w:rPr>
        <w:t xml:space="preserve">c) </w:t>
      </w:r>
      <w:r>
        <w:rPr>
          <w:rFonts w:hint="eastAsia" w:ascii="宋体" w:hAnsi="宋体"/>
        </w:rPr>
        <w:t>咀嚼片嘱患儿将药片放入口腔中咀嚼或吮吸使药片溶化后吞服。</w:t>
      </w:r>
      <w:bookmarkEnd w:id="132"/>
      <w:bookmarkEnd w:id="133"/>
    </w:p>
    <w:p w14:paraId="7395619E">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34" w:name="_Toc372797533"/>
      <w:bookmarkStart w:id="135" w:name="_Toc372796826"/>
      <w:r>
        <w:rPr>
          <w:rFonts w:hint="eastAsia" w:ascii="宋体" w:hAnsi="宋体"/>
          <w:lang w:val="en-US" w:eastAsia="zh-CN"/>
        </w:rPr>
        <w:t xml:space="preserve">d) </w:t>
      </w:r>
      <w:r>
        <w:rPr>
          <w:rFonts w:hint="eastAsia" w:ascii="宋体" w:hAnsi="宋体"/>
        </w:rPr>
        <w:t>3至6岁患儿服用片剂，需先将药片掰成数小块，一块块放入患儿口腔，再用温开水送服。</w:t>
      </w:r>
      <w:bookmarkEnd w:id="134"/>
      <w:bookmarkEnd w:id="135"/>
    </w:p>
    <w:p w14:paraId="44CEF0D2">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36" w:name="_Toc372796827"/>
      <w:bookmarkStart w:id="137" w:name="_Toc372797534"/>
      <w:r>
        <w:rPr>
          <w:rFonts w:hint="eastAsia" w:ascii="宋体" w:hAnsi="宋体"/>
          <w:lang w:val="en-US" w:eastAsia="zh-CN"/>
        </w:rPr>
        <w:t xml:space="preserve">e) </w:t>
      </w:r>
      <w:r>
        <w:rPr>
          <w:rFonts w:hint="eastAsia" w:ascii="宋体" w:hAnsi="宋体"/>
        </w:rPr>
        <w:t>3岁以下患儿服用片剂，需先将药片压粉，加温开水调成糊状喂服。</w:t>
      </w:r>
      <w:bookmarkEnd w:id="136"/>
      <w:bookmarkEnd w:id="137"/>
    </w:p>
    <w:p w14:paraId="51F97D08">
      <w:pPr>
        <w:keepNext w:val="0"/>
        <w:keepLines w:val="0"/>
        <w:pageBreakBefore w:val="0"/>
        <w:widowControl w:val="0"/>
        <w:kinsoku/>
        <w:wordWrap/>
        <w:overflowPunct/>
        <w:topLinePunct w:val="0"/>
        <w:autoSpaceDE/>
        <w:autoSpaceDN/>
        <w:bidi w:val="0"/>
        <w:adjustRightInd/>
        <w:spacing w:line="276" w:lineRule="auto"/>
        <w:ind w:firstLine="360" w:firstLineChars="200"/>
        <w:textAlignment w:val="auto"/>
        <w:outlineLvl w:val="9"/>
        <w:rPr>
          <w:rFonts w:hint="eastAsia" w:ascii="宋体" w:hAnsi="宋体"/>
          <w:sz w:val="18"/>
          <w:szCs w:val="18"/>
        </w:rPr>
      </w:pPr>
      <w:r>
        <w:rPr>
          <w:rFonts w:hint="eastAsia" w:ascii="黑体" w:hAnsi="黑体" w:eastAsia="黑体" w:cs="黑体"/>
          <w:sz w:val="18"/>
          <w:szCs w:val="18"/>
        </w:rPr>
        <w:t>注：</w:t>
      </w:r>
      <w:r>
        <w:rPr>
          <w:rFonts w:hint="eastAsia" w:ascii="宋体" w:hAnsi="宋体"/>
          <w:sz w:val="18"/>
          <w:szCs w:val="18"/>
        </w:rPr>
        <w:t>6岁以下患儿不推荐使用含片、咀嚼片、泡腾片。</w:t>
      </w:r>
    </w:p>
    <w:p w14:paraId="6B3E8674">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38" w:name="_Toc16241"/>
      <w:bookmarkStart w:id="139" w:name="_Toc372797535"/>
      <w:bookmarkStart w:id="140" w:name="_Toc372796828"/>
      <w:r>
        <w:rPr>
          <w:rFonts w:hint="eastAsia" w:ascii="黑体" w:hAnsi="黑体" w:eastAsia="黑体"/>
          <w:b w:val="0"/>
          <w:bCs/>
          <w:sz w:val="21"/>
        </w:rPr>
        <w:t>5.2.11  胶囊剂</w:t>
      </w:r>
      <w:r>
        <w:rPr>
          <w:rFonts w:hint="eastAsia" w:ascii="黑体" w:hAnsi="黑体" w:eastAsia="黑体" w:cs="Times New Roman"/>
          <w:b w:val="0"/>
          <w:bCs/>
          <w:sz w:val="21"/>
        </w:rPr>
        <w:t>服用方法</w:t>
      </w:r>
      <w:bookmarkEnd w:id="138"/>
      <w:bookmarkEnd w:id="139"/>
      <w:bookmarkEnd w:id="140"/>
    </w:p>
    <w:p w14:paraId="58B8F538">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41" w:name="_Toc372797536"/>
      <w:bookmarkStart w:id="142" w:name="_Toc372796829"/>
      <w:r>
        <w:rPr>
          <w:rFonts w:hint="eastAsia" w:ascii="宋体" w:hAnsi="宋体"/>
          <w:lang w:val="en-US" w:eastAsia="zh-CN"/>
        </w:rPr>
        <w:t xml:space="preserve">a) </w:t>
      </w:r>
      <w:r>
        <w:rPr>
          <w:rFonts w:hint="eastAsia" w:ascii="宋体" w:hAnsi="宋体"/>
        </w:rPr>
        <w:t>6岁以上患儿可直接服入胶囊，随即饮温开水送服。</w:t>
      </w:r>
      <w:bookmarkEnd w:id="141"/>
      <w:bookmarkEnd w:id="142"/>
    </w:p>
    <w:p w14:paraId="4AA44088">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43" w:name="_Toc372797537"/>
      <w:bookmarkStart w:id="144" w:name="_Toc372796830"/>
      <w:r>
        <w:rPr>
          <w:rFonts w:hint="eastAsia" w:ascii="宋体" w:hAnsi="宋体"/>
          <w:lang w:val="en-US" w:eastAsia="zh-CN"/>
        </w:rPr>
        <w:t xml:space="preserve">b) </w:t>
      </w:r>
      <w:r>
        <w:rPr>
          <w:rFonts w:hint="eastAsia" w:ascii="宋体" w:hAnsi="宋体"/>
        </w:rPr>
        <w:t>6岁以下患儿不宜直接服用胶囊。必须服用时可将胶囊内药粉或软胶囊内药液挤出，加水调服。</w:t>
      </w:r>
      <w:bookmarkEnd w:id="143"/>
      <w:bookmarkEnd w:id="144"/>
      <w:r>
        <w:rPr>
          <w:rFonts w:hint="eastAsia" w:ascii="宋体" w:hAnsi="宋体"/>
        </w:rPr>
        <w:t>若为肠溶胶囊则不可打开取药服用。</w:t>
      </w:r>
    </w:p>
    <w:p w14:paraId="1A4C7D6C">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45" w:name="_Toc372796831"/>
      <w:bookmarkStart w:id="146" w:name="_Toc372797538"/>
      <w:bookmarkStart w:id="147" w:name="_Toc16703"/>
      <w:r>
        <w:rPr>
          <w:rFonts w:hint="eastAsia" w:ascii="黑体" w:hAnsi="黑体" w:eastAsia="黑体"/>
          <w:b w:val="0"/>
          <w:bCs/>
          <w:sz w:val="21"/>
        </w:rPr>
        <w:t>5.2.12  散剂</w:t>
      </w:r>
      <w:r>
        <w:rPr>
          <w:rFonts w:hint="eastAsia" w:ascii="黑体" w:hAnsi="黑体" w:eastAsia="黑体" w:cs="Times New Roman"/>
          <w:b w:val="0"/>
          <w:bCs/>
          <w:sz w:val="21"/>
        </w:rPr>
        <w:t>服用方法</w:t>
      </w:r>
      <w:bookmarkEnd w:id="145"/>
      <w:bookmarkEnd w:id="146"/>
      <w:bookmarkEnd w:id="147"/>
    </w:p>
    <w:p w14:paraId="03744DD0">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48" w:name="_Toc372797539"/>
      <w:bookmarkStart w:id="149" w:name="_Toc372796832"/>
      <w:r>
        <w:rPr>
          <w:rFonts w:hint="eastAsia" w:ascii="宋体" w:hAnsi="宋体"/>
        </w:rPr>
        <w:t>将散剂加入适量温开水调和，倒入汤匙或吸入喂药器；散剂不易与水混合者可改用适量蜂蜜在汤匙内调和。按服药方法服用。</w:t>
      </w:r>
      <w:bookmarkEnd w:id="148"/>
      <w:bookmarkEnd w:id="149"/>
    </w:p>
    <w:p w14:paraId="1FD9D32C">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sz w:val="21"/>
        </w:rPr>
      </w:pPr>
      <w:bookmarkStart w:id="150" w:name="_Toc372796833"/>
      <w:bookmarkStart w:id="151" w:name="_Toc32664"/>
      <w:bookmarkStart w:id="152" w:name="_Toc372797540"/>
      <w:r>
        <w:rPr>
          <w:rFonts w:hint="eastAsia" w:ascii="黑体" w:hAnsi="黑体" w:eastAsia="黑体"/>
          <w:b w:val="0"/>
          <w:bCs/>
          <w:sz w:val="21"/>
        </w:rPr>
        <w:t>5.2.13  丸剂（浓缩丸和滴丸）</w:t>
      </w:r>
      <w:r>
        <w:rPr>
          <w:rFonts w:hint="eastAsia" w:ascii="黑体" w:hAnsi="黑体" w:eastAsia="黑体" w:cs="Times New Roman"/>
          <w:b w:val="0"/>
          <w:bCs/>
          <w:sz w:val="21"/>
        </w:rPr>
        <w:t>服用方法</w:t>
      </w:r>
      <w:bookmarkEnd w:id="150"/>
      <w:bookmarkEnd w:id="151"/>
      <w:bookmarkEnd w:id="152"/>
    </w:p>
    <w:p w14:paraId="0286F1B7">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53" w:name="_Toc372796834"/>
      <w:bookmarkStart w:id="154" w:name="_Toc372797541"/>
      <w:r>
        <w:rPr>
          <w:rFonts w:hint="eastAsia" w:ascii="宋体" w:hAnsi="宋体"/>
          <w:lang w:val="en-US" w:eastAsia="zh-CN"/>
        </w:rPr>
        <w:t xml:space="preserve">a) </w:t>
      </w:r>
      <w:r>
        <w:rPr>
          <w:rFonts w:hint="eastAsia" w:ascii="宋体" w:hAnsi="宋体"/>
        </w:rPr>
        <w:t>6岁以上患儿可直接服入药丸，随即饮温开水送服。药丸体积大者可掰成数小块或捣碎，加入适量温开水调和，按服药方法服用。</w:t>
      </w:r>
      <w:bookmarkEnd w:id="153"/>
      <w:bookmarkEnd w:id="154"/>
    </w:p>
    <w:p w14:paraId="0DF3ABD6">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55" w:name="_Toc372797542"/>
      <w:bookmarkStart w:id="156" w:name="_Toc372796835"/>
      <w:r>
        <w:rPr>
          <w:rFonts w:hint="eastAsia" w:ascii="宋体" w:hAnsi="宋体"/>
          <w:lang w:val="en-US" w:eastAsia="zh-CN"/>
        </w:rPr>
        <w:t xml:space="preserve">b) </w:t>
      </w:r>
      <w:r>
        <w:rPr>
          <w:rFonts w:hint="eastAsia" w:ascii="宋体" w:hAnsi="宋体"/>
        </w:rPr>
        <w:t>6岁以下患儿只能服用浓缩丸、滴丸、微丸等体积小的药丸，3岁以下患儿只能服用微丸。服法同上。</w:t>
      </w:r>
      <w:bookmarkEnd w:id="155"/>
      <w:bookmarkEnd w:id="156"/>
    </w:p>
    <w:p w14:paraId="5813E69E">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b w:val="0"/>
          <w:bCs/>
          <w:color w:val="auto"/>
          <w:sz w:val="21"/>
        </w:rPr>
      </w:pPr>
      <w:bookmarkStart w:id="157" w:name="_Toc372797543"/>
      <w:bookmarkStart w:id="158" w:name="_Toc22391"/>
      <w:bookmarkStart w:id="159" w:name="_Toc372796836"/>
      <w:r>
        <w:rPr>
          <w:rFonts w:hint="eastAsia" w:ascii="黑体" w:hAnsi="黑体" w:eastAsia="黑体"/>
          <w:b w:val="0"/>
          <w:bCs/>
          <w:sz w:val="21"/>
        </w:rPr>
        <w:t>5.2.14  糕剂</w:t>
      </w:r>
      <w:r>
        <w:rPr>
          <w:rFonts w:hint="eastAsia" w:ascii="黑体" w:hAnsi="黑体" w:eastAsia="黑体" w:cs="Times New Roman"/>
          <w:b w:val="0"/>
          <w:bCs/>
          <w:sz w:val="21"/>
        </w:rPr>
        <w:t>服用方法</w:t>
      </w:r>
      <w:bookmarkEnd w:id="157"/>
      <w:bookmarkEnd w:id="158"/>
      <w:bookmarkEnd w:id="159"/>
    </w:p>
    <w:p w14:paraId="0E831CE2">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60" w:name="_Toc372796837"/>
      <w:bookmarkStart w:id="161" w:name="_Toc372797544"/>
      <w:r>
        <w:rPr>
          <w:rFonts w:hint="eastAsia" w:ascii="宋体" w:hAnsi="宋体"/>
          <w:lang w:val="en-US" w:eastAsia="zh-CN"/>
        </w:rPr>
        <w:t xml:space="preserve">a) </w:t>
      </w:r>
      <w:r>
        <w:rPr>
          <w:rFonts w:hint="eastAsia" w:ascii="宋体" w:hAnsi="宋体"/>
        </w:rPr>
        <w:t>将药糕用热水化开成糊状，炖后服用。</w:t>
      </w:r>
      <w:bookmarkEnd w:id="160"/>
      <w:bookmarkEnd w:id="161"/>
    </w:p>
    <w:p w14:paraId="56F7C9A4">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62" w:name="_Toc372796838"/>
      <w:bookmarkStart w:id="163" w:name="_Toc372797545"/>
      <w:r>
        <w:rPr>
          <w:rFonts w:hint="eastAsia" w:ascii="宋体" w:hAnsi="宋体"/>
          <w:lang w:val="en-US" w:eastAsia="zh-CN"/>
        </w:rPr>
        <w:t xml:space="preserve">b) </w:t>
      </w:r>
      <w:r>
        <w:rPr>
          <w:rFonts w:hint="eastAsia" w:ascii="宋体" w:hAnsi="宋体"/>
        </w:rPr>
        <w:t>3岁以上患儿亦可干服，即直接咀嚼服入。</w:t>
      </w:r>
      <w:bookmarkEnd w:id="162"/>
      <w:bookmarkEnd w:id="163"/>
    </w:p>
    <w:p w14:paraId="7AFF739D">
      <w:pPr>
        <w:pStyle w:val="12"/>
        <w:keepNext w:val="0"/>
        <w:keepLines w:val="0"/>
        <w:pageBreakBefore w:val="0"/>
        <w:widowControl w:val="0"/>
        <w:kinsoku/>
        <w:wordWrap/>
        <w:overflowPunct/>
        <w:topLinePunct w:val="0"/>
        <w:autoSpaceDE/>
        <w:autoSpaceDN/>
        <w:bidi w:val="0"/>
        <w:adjustRightInd/>
        <w:snapToGrid w:val="0"/>
        <w:spacing w:before="157" w:beforeLines="50" w:after="157" w:afterLines="50" w:line="276" w:lineRule="auto"/>
        <w:jc w:val="left"/>
        <w:textAlignment w:val="auto"/>
        <w:outlineLvl w:val="9"/>
        <w:rPr>
          <w:rFonts w:hint="eastAsia" w:ascii="黑体" w:hAnsi="黑体" w:eastAsia="黑体" w:cs="Times New Roman"/>
          <w:b w:val="0"/>
          <w:bCs/>
          <w:sz w:val="21"/>
        </w:rPr>
      </w:pPr>
      <w:bookmarkStart w:id="164" w:name="_Toc372796839"/>
      <w:bookmarkStart w:id="165" w:name="_Toc15497"/>
      <w:bookmarkStart w:id="166" w:name="_Toc372797546"/>
      <w:r>
        <w:rPr>
          <w:rFonts w:hint="eastAsia" w:ascii="黑体" w:hAnsi="黑体" w:eastAsia="黑体"/>
          <w:b w:val="0"/>
          <w:bCs/>
          <w:sz w:val="21"/>
        </w:rPr>
        <w:t>5.2.15  胶剂</w:t>
      </w:r>
      <w:r>
        <w:rPr>
          <w:rFonts w:hint="eastAsia" w:ascii="黑体" w:hAnsi="黑体" w:eastAsia="黑体" w:cs="Times New Roman"/>
          <w:b w:val="0"/>
          <w:bCs/>
          <w:sz w:val="21"/>
        </w:rPr>
        <w:t>服用方法</w:t>
      </w:r>
      <w:bookmarkEnd w:id="164"/>
      <w:bookmarkEnd w:id="165"/>
      <w:bookmarkEnd w:id="166"/>
    </w:p>
    <w:p w14:paraId="3503427A">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67" w:name="_Toc372797547"/>
      <w:bookmarkStart w:id="168" w:name="_Toc372796840"/>
      <w:r>
        <w:rPr>
          <w:rFonts w:hint="eastAsia" w:ascii="宋体" w:hAnsi="宋体"/>
          <w:lang w:val="en-US" w:eastAsia="zh-CN"/>
        </w:rPr>
        <w:t xml:space="preserve">a) </w:t>
      </w:r>
      <w:r>
        <w:rPr>
          <w:rFonts w:hint="eastAsia" w:ascii="宋体" w:hAnsi="宋体"/>
        </w:rPr>
        <w:t>胶剂若是用于复方汤剂，可先将</w:t>
      </w:r>
      <w:r>
        <w:rPr>
          <w:rFonts w:ascii="宋体" w:hAnsi="宋体"/>
        </w:rPr>
        <w:t>胶</w:t>
      </w:r>
      <w:r>
        <w:rPr>
          <w:rFonts w:hint="eastAsia" w:ascii="宋体" w:hAnsi="宋体"/>
        </w:rPr>
        <w:t>块</w:t>
      </w:r>
      <w:r>
        <w:rPr>
          <w:rFonts w:ascii="宋体" w:hAnsi="宋体"/>
        </w:rPr>
        <w:t>打碎或打粉</w:t>
      </w:r>
      <w:r>
        <w:rPr>
          <w:rFonts w:hint="eastAsia" w:ascii="宋体" w:hAnsi="宋体"/>
        </w:rPr>
        <w:t>，</w:t>
      </w:r>
      <w:r>
        <w:rPr>
          <w:rFonts w:ascii="宋体" w:hAnsi="宋体"/>
        </w:rPr>
        <w:t>倒入热水后不停搅拌加速溶解</w:t>
      </w:r>
      <w:r>
        <w:rPr>
          <w:rFonts w:hint="eastAsia" w:ascii="宋体" w:hAnsi="宋体"/>
        </w:rPr>
        <w:t>，</w:t>
      </w:r>
      <w:r>
        <w:rPr>
          <w:rFonts w:ascii="宋体" w:hAnsi="宋体"/>
        </w:rPr>
        <w:t>再倒入已煎好的药液中和匀</w:t>
      </w:r>
      <w:r>
        <w:rPr>
          <w:rFonts w:hint="eastAsia" w:ascii="宋体" w:hAnsi="宋体"/>
        </w:rPr>
        <w:t>，或是直接倒入热药液中溶解后，按服药方法服用</w:t>
      </w:r>
      <w:r>
        <w:rPr>
          <w:rFonts w:ascii="宋体" w:hAnsi="宋体"/>
        </w:rPr>
        <w:t>。</w:t>
      </w:r>
      <w:bookmarkEnd w:id="167"/>
      <w:bookmarkEnd w:id="168"/>
    </w:p>
    <w:p w14:paraId="591A0049">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outlineLvl w:val="9"/>
        <w:rPr>
          <w:rFonts w:hint="eastAsia" w:ascii="宋体" w:hAnsi="宋体"/>
        </w:rPr>
      </w:pPr>
      <w:bookmarkStart w:id="169" w:name="_Toc372797548"/>
      <w:bookmarkStart w:id="170" w:name="_Toc372796841"/>
      <w:r>
        <w:rPr>
          <w:rFonts w:hint="eastAsia" w:ascii="宋体" w:hAnsi="宋体"/>
          <w:lang w:val="en-US" w:eastAsia="zh-CN"/>
        </w:rPr>
        <w:t xml:space="preserve">b) </w:t>
      </w:r>
      <w:r>
        <w:rPr>
          <w:rFonts w:hint="eastAsia" w:ascii="宋体" w:hAnsi="宋体"/>
        </w:rPr>
        <w:t>胶剂若是单独服用，可先将</w:t>
      </w:r>
      <w:r>
        <w:rPr>
          <w:rFonts w:ascii="宋体" w:hAnsi="宋体"/>
        </w:rPr>
        <w:t>胶</w:t>
      </w:r>
      <w:r>
        <w:rPr>
          <w:rFonts w:hint="eastAsia" w:ascii="宋体" w:hAnsi="宋体"/>
        </w:rPr>
        <w:t>块</w:t>
      </w:r>
      <w:r>
        <w:rPr>
          <w:rFonts w:ascii="宋体" w:hAnsi="宋体"/>
        </w:rPr>
        <w:t>打碎或打粉</w:t>
      </w:r>
      <w:r>
        <w:rPr>
          <w:rFonts w:hint="eastAsia" w:ascii="宋体" w:hAnsi="宋体"/>
        </w:rPr>
        <w:t>，放入</w:t>
      </w:r>
      <w:r>
        <w:rPr>
          <w:rFonts w:ascii="宋体" w:hAnsi="宋体"/>
        </w:rPr>
        <w:t>一个小碗或杯子</w:t>
      </w:r>
      <w:r>
        <w:rPr>
          <w:rFonts w:hint="eastAsia" w:ascii="宋体" w:hAnsi="宋体"/>
        </w:rPr>
        <w:t>内，加适量</w:t>
      </w:r>
      <w:r>
        <w:rPr>
          <w:rFonts w:ascii="宋体" w:hAnsi="宋体"/>
        </w:rPr>
        <w:t>热</w:t>
      </w:r>
      <w:r>
        <w:rPr>
          <w:rFonts w:hint="eastAsia" w:ascii="宋体" w:hAnsi="宋体"/>
        </w:rPr>
        <w:t>水，</w:t>
      </w:r>
      <w:r>
        <w:rPr>
          <w:rFonts w:ascii="宋体" w:hAnsi="宋体"/>
        </w:rPr>
        <w:t>放在锅里隔水炖，让碗里的水保持在沸点左右，并不停搅拌</w:t>
      </w:r>
      <w:r>
        <w:rPr>
          <w:rFonts w:hint="eastAsia" w:ascii="宋体" w:hAnsi="宋体"/>
        </w:rPr>
        <w:t>，直至溶化，按服药方法服用。</w:t>
      </w:r>
      <w:bookmarkEnd w:id="169"/>
      <w:bookmarkEnd w:id="170"/>
    </w:p>
    <w:p w14:paraId="5589D2AD">
      <w:pPr>
        <w:tabs>
          <w:tab w:val="left" w:pos="360"/>
          <w:tab w:val="left" w:pos="540"/>
        </w:tabs>
        <w:spacing w:before="312" w:beforeLines="100" w:after="312" w:afterLines="100" w:line="276" w:lineRule="auto"/>
        <w:outlineLvl w:val="0"/>
        <w:rPr>
          <w:rFonts w:hint="eastAsia" w:ascii="黑体" w:hAnsi="黑体" w:eastAsia="黑体"/>
        </w:rPr>
      </w:pPr>
      <w:bookmarkStart w:id="171" w:name="_Toc30350"/>
      <w:bookmarkStart w:id="172" w:name="_Toc372797549"/>
      <w:r>
        <w:rPr>
          <w:rFonts w:hint="eastAsia" w:ascii="黑体" w:hAnsi="黑体" w:eastAsia="黑体"/>
        </w:rPr>
        <w:t>6</w:t>
      </w:r>
      <w:r>
        <w:rPr>
          <w:rFonts w:hint="eastAsia" w:ascii="黑体" w:hAnsi="黑体" w:eastAsia="黑体"/>
          <w:lang w:val="en-US" w:eastAsia="zh-CN"/>
        </w:rPr>
        <w:t xml:space="preserve"> </w:t>
      </w:r>
      <w:r>
        <w:rPr>
          <w:rFonts w:hint="eastAsia" w:ascii="黑体" w:hAnsi="黑体" w:eastAsia="黑体"/>
        </w:rPr>
        <w:t>中药鼻饲给药方法操作步骤与要求</w:t>
      </w:r>
      <w:bookmarkEnd w:id="171"/>
      <w:bookmarkEnd w:id="172"/>
    </w:p>
    <w:p w14:paraId="509644F9">
      <w:pPr>
        <w:tabs>
          <w:tab w:val="left" w:pos="360"/>
          <w:tab w:val="left" w:pos="540"/>
        </w:tabs>
        <w:spacing w:before="157" w:beforeLines="50" w:after="157" w:afterLines="50" w:line="276" w:lineRule="auto"/>
        <w:outlineLvl w:val="1"/>
        <w:rPr>
          <w:rFonts w:hint="eastAsia" w:ascii="黑体" w:hAnsi="黑体" w:eastAsia="黑体"/>
        </w:rPr>
      </w:pPr>
      <w:bookmarkStart w:id="173" w:name="_Toc372797550"/>
      <w:bookmarkStart w:id="174" w:name="_Toc18554"/>
      <w:bookmarkStart w:id="175" w:name="_Toc372796842"/>
      <w:r>
        <w:rPr>
          <w:rFonts w:hint="eastAsia" w:ascii="黑体" w:hAnsi="黑体" w:eastAsia="黑体"/>
        </w:rPr>
        <w:t>6.1</w:t>
      </w:r>
      <w:r>
        <w:rPr>
          <w:rFonts w:hint="eastAsia" w:ascii="黑体" w:hAnsi="黑体" w:eastAsia="黑体"/>
          <w:lang w:val="en-US" w:eastAsia="zh-CN"/>
        </w:rPr>
        <w:t xml:space="preserve"> </w:t>
      </w:r>
      <w:r>
        <w:rPr>
          <w:rFonts w:hint="eastAsia" w:ascii="黑体" w:hAnsi="黑体" w:eastAsia="黑体"/>
        </w:rPr>
        <w:t>操作前准备</w:t>
      </w:r>
      <w:bookmarkEnd w:id="173"/>
      <w:bookmarkEnd w:id="174"/>
      <w:bookmarkEnd w:id="175"/>
    </w:p>
    <w:p w14:paraId="2FE0D5E8">
      <w:pPr>
        <w:pStyle w:val="12"/>
        <w:snapToGrid w:val="0"/>
        <w:spacing w:before="157" w:beforeLines="50" w:after="157" w:afterLines="50" w:line="276" w:lineRule="auto"/>
        <w:jc w:val="left"/>
        <w:outlineLvl w:val="9"/>
        <w:rPr>
          <w:rFonts w:hint="eastAsia" w:ascii="黑体" w:hAnsi="黑体" w:eastAsia="黑体" w:cs="Arial"/>
          <w:b w:val="0"/>
          <w:spacing w:val="8"/>
          <w:kern w:val="0"/>
          <w:sz w:val="21"/>
        </w:rPr>
      </w:pPr>
      <w:bookmarkStart w:id="176" w:name="_Toc372796843"/>
      <w:bookmarkStart w:id="177" w:name="_Toc372797551"/>
      <w:r>
        <w:rPr>
          <w:rFonts w:hint="eastAsia" w:ascii="黑体" w:hAnsi="黑体" w:eastAsia="黑体" w:cs="Arial"/>
          <w:b w:val="0"/>
          <w:spacing w:val="8"/>
          <w:kern w:val="0"/>
          <w:sz w:val="21"/>
        </w:rPr>
        <w:t>6.1.1  器具</w:t>
      </w:r>
      <w:bookmarkEnd w:id="176"/>
      <w:bookmarkEnd w:id="177"/>
    </w:p>
    <w:p w14:paraId="5F7AE9C4">
      <w:pPr>
        <w:spacing w:line="276" w:lineRule="auto"/>
        <w:ind w:firstLine="420" w:firstLineChars="200"/>
        <w:rPr>
          <w:rFonts w:hint="eastAsia" w:ascii="宋体" w:hAnsi="宋体"/>
        </w:rPr>
      </w:pPr>
      <w:bookmarkStart w:id="178" w:name="_Toc372796844"/>
      <w:bookmarkStart w:id="179" w:name="_Toc372797552"/>
      <w:r>
        <w:t>治疗碗1（纱布3块、50mL注射器2副、无菌镊子1把）、治疗碗2（液状石蜡纱布1块、无菌镊子</w:t>
      </w:r>
      <w:r>
        <w:rPr>
          <w:rFonts w:hint="eastAsia"/>
        </w:rPr>
        <w:t>1</w:t>
      </w:r>
      <w:r>
        <w:t>把）、一次性胃管、治疗巾、弯盘、别针、棉签、胶布、温水1杯、38℃～40℃鼻饲液、手电筒、无菌手套、听诊器、水温</w:t>
      </w:r>
      <w:r>
        <w:rPr>
          <w:rFonts w:hint="eastAsia" w:ascii="宋体" w:hAnsi="宋体"/>
        </w:rPr>
        <w:t>计、剪刀、小号治疗盘。</w:t>
      </w:r>
      <w:bookmarkEnd w:id="178"/>
      <w:bookmarkEnd w:id="179"/>
    </w:p>
    <w:p w14:paraId="0966DECC">
      <w:pPr>
        <w:pStyle w:val="12"/>
        <w:snapToGrid w:val="0"/>
        <w:spacing w:before="157" w:beforeLines="50" w:after="157" w:afterLines="50" w:line="276" w:lineRule="auto"/>
        <w:jc w:val="left"/>
        <w:outlineLvl w:val="9"/>
        <w:rPr>
          <w:rFonts w:hint="eastAsia" w:ascii="黑体" w:hAnsi="黑体" w:eastAsia="黑体" w:cs="Arial"/>
          <w:b w:val="0"/>
          <w:spacing w:val="8"/>
          <w:kern w:val="0"/>
          <w:sz w:val="21"/>
        </w:rPr>
      </w:pPr>
      <w:bookmarkStart w:id="180" w:name="_Toc372796845"/>
      <w:bookmarkStart w:id="181" w:name="_Toc372797553"/>
      <w:r>
        <w:rPr>
          <w:rFonts w:hint="eastAsia" w:ascii="黑体" w:hAnsi="黑体" w:eastAsia="黑体" w:cs="Arial"/>
          <w:b w:val="0"/>
          <w:spacing w:val="8"/>
          <w:kern w:val="0"/>
          <w:sz w:val="21"/>
        </w:rPr>
        <w:t>6.1.2  消毒</w:t>
      </w:r>
      <w:bookmarkEnd w:id="180"/>
      <w:bookmarkEnd w:id="181"/>
    </w:p>
    <w:p w14:paraId="4A7DDC60">
      <w:pPr>
        <w:spacing w:line="276" w:lineRule="auto"/>
        <w:ind w:firstLine="420" w:firstLineChars="200"/>
        <w:rPr>
          <w:rFonts w:hint="eastAsia" w:ascii="宋体" w:hAnsi="宋体"/>
        </w:rPr>
      </w:pPr>
      <w:bookmarkStart w:id="182" w:name="_Toc372796846"/>
      <w:bookmarkStart w:id="183" w:name="_Toc372797554"/>
      <w:r>
        <w:rPr>
          <w:rFonts w:hint="eastAsia" w:ascii="宋体" w:hAnsi="宋体"/>
          <w:lang w:val="en-US" w:eastAsia="zh-CN"/>
        </w:rPr>
        <w:t xml:space="preserve">a) </w:t>
      </w:r>
      <w:r>
        <w:rPr>
          <w:rFonts w:hint="eastAsia" w:ascii="宋体" w:hAnsi="宋体"/>
        </w:rPr>
        <w:t>所用一次性胃管及与之直接接触的器具在使用前均作消毒处理。</w:t>
      </w:r>
      <w:bookmarkEnd w:id="182"/>
      <w:bookmarkEnd w:id="183"/>
    </w:p>
    <w:p w14:paraId="597C256A">
      <w:pPr>
        <w:spacing w:line="276" w:lineRule="auto"/>
        <w:ind w:firstLine="420" w:firstLineChars="200"/>
        <w:rPr>
          <w:rFonts w:hint="eastAsia" w:ascii="宋体" w:hAnsi="宋体"/>
        </w:rPr>
      </w:pPr>
      <w:bookmarkStart w:id="184" w:name="_Toc372796847"/>
      <w:bookmarkStart w:id="185" w:name="_Toc372797555"/>
      <w:r>
        <w:rPr>
          <w:rFonts w:hint="eastAsia" w:ascii="宋体" w:hAnsi="宋体"/>
          <w:lang w:val="en-US" w:eastAsia="zh-CN"/>
        </w:rPr>
        <w:t xml:space="preserve">b) </w:t>
      </w:r>
      <w:r>
        <w:rPr>
          <w:rFonts w:hint="eastAsia" w:ascii="宋体" w:hAnsi="宋体"/>
        </w:rPr>
        <w:t>操作前</w:t>
      </w:r>
      <w:r>
        <w:rPr>
          <w:rFonts w:ascii="宋体" w:hAnsi="宋体"/>
        </w:rPr>
        <w:t>清洁鼻腔</w:t>
      </w:r>
      <w:r>
        <w:rPr>
          <w:rFonts w:hint="eastAsia" w:ascii="宋体" w:hAnsi="宋体"/>
        </w:rPr>
        <w:t>，消毒鼻周皮肤。</w:t>
      </w:r>
      <w:bookmarkEnd w:id="184"/>
      <w:bookmarkEnd w:id="185"/>
    </w:p>
    <w:p w14:paraId="0AB44BD9">
      <w:pPr>
        <w:spacing w:line="276" w:lineRule="auto"/>
        <w:ind w:firstLine="420" w:firstLineChars="200"/>
        <w:rPr>
          <w:rFonts w:hint="eastAsia" w:ascii="宋体" w:hAnsi="宋体"/>
        </w:rPr>
      </w:pPr>
      <w:r>
        <w:rPr>
          <w:rFonts w:hint="eastAsia" w:ascii="宋体" w:hAnsi="宋体"/>
          <w:lang w:val="en-US" w:eastAsia="zh-CN"/>
        </w:rPr>
        <w:t xml:space="preserve">c) </w:t>
      </w:r>
      <w:r>
        <w:rPr>
          <w:rFonts w:hint="eastAsia" w:ascii="宋体" w:hAnsi="宋体"/>
        </w:rPr>
        <w:t>操作者</w:t>
      </w:r>
      <w:r>
        <w:rPr>
          <w:rFonts w:ascii="宋体" w:hAnsi="宋体"/>
        </w:rPr>
        <w:t>戴无菌手套</w:t>
      </w:r>
      <w:r>
        <w:rPr>
          <w:rFonts w:hint="eastAsia" w:ascii="宋体" w:hAnsi="宋体"/>
        </w:rPr>
        <w:t>。</w:t>
      </w:r>
    </w:p>
    <w:p w14:paraId="41CE6C5E">
      <w:pPr>
        <w:pStyle w:val="12"/>
        <w:snapToGrid w:val="0"/>
        <w:spacing w:before="157" w:beforeLines="50" w:after="157" w:afterLines="50" w:line="276" w:lineRule="auto"/>
        <w:jc w:val="left"/>
        <w:outlineLvl w:val="9"/>
        <w:rPr>
          <w:rFonts w:hint="eastAsia" w:ascii="黑体" w:hAnsi="黑体" w:eastAsia="黑体" w:cs="Arial"/>
          <w:b w:val="0"/>
          <w:spacing w:val="8"/>
          <w:kern w:val="0"/>
          <w:sz w:val="21"/>
        </w:rPr>
      </w:pPr>
      <w:bookmarkStart w:id="186" w:name="_Toc372796849"/>
      <w:bookmarkStart w:id="187" w:name="_Toc372797557"/>
      <w:r>
        <w:rPr>
          <w:rFonts w:hint="eastAsia" w:ascii="黑体" w:hAnsi="黑体" w:eastAsia="黑体" w:cs="Arial"/>
          <w:b w:val="0"/>
          <w:spacing w:val="8"/>
          <w:kern w:val="0"/>
          <w:sz w:val="21"/>
        </w:rPr>
        <w:t>6.1.3  环境</w:t>
      </w:r>
      <w:bookmarkEnd w:id="186"/>
      <w:bookmarkEnd w:id="187"/>
    </w:p>
    <w:p w14:paraId="27203641">
      <w:pPr>
        <w:spacing w:line="276" w:lineRule="auto"/>
        <w:ind w:firstLine="420" w:firstLineChars="200"/>
        <w:rPr>
          <w:rFonts w:hint="eastAsia" w:ascii="宋体" w:hAnsi="宋体"/>
        </w:rPr>
      </w:pPr>
      <w:bookmarkStart w:id="188" w:name="_Toc372797558"/>
      <w:bookmarkStart w:id="189" w:name="_Toc372796850"/>
      <w:r>
        <w:rPr>
          <w:rFonts w:hint="eastAsia" w:ascii="宋体" w:hAnsi="宋体"/>
        </w:rPr>
        <w:t>病室内保持清洁，安静，光线明亮，禁止无关人员出入。</w:t>
      </w:r>
      <w:bookmarkEnd w:id="188"/>
      <w:bookmarkEnd w:id="189"/>
    </w:p>
    <w:p w14:paraId="19CE28DE">
      <w:pPr>
        <w:pStyle w:val="12"/>
        <w:snapToGrid w:val="0"/>
        <w:spacing w:before="157" w:beforeLines="50" w:after="157" w:afterLines="50" w:line="276" w:lineRule="auto"/>
        <w:jc w:val="left"/>
        <w:outlineLvl w:val="9"/>
        <w:rPr>
          <w:rFonts w:hint="eastAsia" w:ascii="黑体" w:hAnsi="黑体" w:eastAsia="黑体" w:cs="Arial"/>
          <w:b w:val="0"/>
          <w:spacing w:val="8"/>
          <w:kern w:val="0"/>
          <w:sz w:val="21"/>
        </w:rPr>
      </w:pPr>
      <w:bookmarkStart w:id="190" w:name="_Toc372797559"/>
      <w:bookmarkStart w:id="191" w:name="_Toc372796851"/>
      <w:r>
        <w:rPr>
          <w:rFonts w:hint="eastAsia" w:ascii="黑体" w:hAnsi="黑体" w:eastAsia="黑体" w:cs="Arial"/>
          <w:b w:val="0"/>
          <w:spacing w:val="8"/>
          <w:kern w:val="0"/>
          <w:sz w:val="21"/>
        </w:rPr>
        <w:t>6.1.4  操作前护理</w:t>
      </w:r>
      <w:bookmarkEnd w:id="190"/>
      <w:bookmarkEnd w:id="191"/>
    </w:p>
    <w:p w14:paraId="15028A8B">
      <w:pPr>
        <w:spacing w:line="276" w:lineRule="auto"/>
        <w:ind w:firstLine="420" w:firstLineChars="200"/>
        <w:rPr>
          <w:rFonts w:hint="eastAsia" w:ascii="宋体" w:hAnsi="宋体"/>
        </w:rPr>
      </w:pPr>
      <w:bookmarkStart w:id="192" w:name="_Toc372797560"/>
      <w:bookmarkStart w:id="193" w:name="_Toc372796852"/>
      <w:r>
        <w:rPr>
          <w:rFonts w:hint="eastAsia" w:ascii="宋体" w:hAnsi="宋体"/>
          <w:lang w:val="en-US" w:eastAsia="zh-CN"/>
        </w:rPr>
        <w:t xml:space="preserve">a) </w:t>
      </w:r>
      <w:r>
        <w:rPr>
          <w:rFonts w:ascii="宋体" w:hAnsi="宋体"/>
        </w:rPr>
        <w:t>备齐</w:t>
      </w:r>
      <w:r>
        <w:rPr>
          <w:rFonts w:hint="eastAsia" w:ascii="宋体" w:hAnsi="宋体"/>
        </w:rPr>
        <w:t>器具</w:t>
      </w:r>
      <w:r>
        <w:rPr>
          <w:rFonts w:ascii="宋体" w:hAnsi="宋体"/>
        </w:rPr>
        <w:t>用物至</w:t>
      </w:r>
      <w:r>
        <w:rPr>
          <w:rFonts w:hint="eastAsia" w:ascii="宋体" w:hAnsi="宋体"/>
        </w:rPr>
        <w:t>患儿</w:t>
      </w:r>
      <w:r>
        <w:rPr>
          <w:rFonts w:ascii="宋体" w:hAnsi="宋体"/>
        </w:rPr>
        <w:t>床边。</w:t>
      </w:r>
      <w:bookmarkEnd w:id="192"/>
      <w:bookmarkEnd w:id="193"/>
    </w:p>
    <w:p w14:paraId="43E10128">
      <w:pPr>
        <w:spacing w:line="276" w:lineRule="auto"/>
        <w:ind w:firstLine="420" w:firstLineChars="200"/>
        <w:rPr>
          <w:rFonts w:ascii="宋体" w:hAnsi="宋体"/>
        </w:rPr>
      </w:pPr>
      <w:bookmarkStart w:id="194" w:name="_Toc372796853"/>
      <w:bookmarkStart w:id="195" w:name="_Toc372797561"/>
      <w:r>
        <w:rPr>
          <w:rFonts w:hint="eastAsia" w:ascii="宋体" w:hAnsi="宋体"/>
          <w:lang w:val="en-US" w:eastAsia="zh-CN"/>
        </w:rPr>
        <w:t xml:space="preserve">b) </w:t>
      </w:r>
      <w:r>
        <w:rPr>
          <w:rFonts w:ascii="宋体" w:hAnsi="宋体"/>
        </w:rPr>
        <w:t>对神志清醒</w:t>
      </w:r>
      <w:r>
        <w:rPr>
          <w:rFonts w:hint="eastAsia" w:ascii="宋体" w:hAnsi="宋体"/>
        </w:rPr>
        <w:t>的3岁以上患儿</w:t>
      </w:r>
      <w:r>
        <w:rPr>
          <w:rFonts w:ascii="宋体" w:hAnsi="宋体"/>
        </w:rPr>
        <w:t>做好心理护理，</w:t>
      </w:r>
      <w:r>
        <w:rPr>
          <w:rFonts w:hint="eastAsia" w:ascii="宋体" w:hAnsi="宋体"/>
        </w:rPr>
        <w:t>说明</w:t>
      </w:r>
      <w:r>
        <w:rPr>
          <w:rFonts w:ascii="宋体" w:hAnsi="宋体"/>
        </w:rPr>
        <w:t>治疗的意义和注意事项，进行精神安慰与鼓励，消除</w:t>
      </w:r>
      <w:r>
        <w:rPr>
          <w:rFonts w:hint="eastAsia" w:ascii="宋体" w:hAnsi="宋体"/>
        </w:rPr>
        <w:t>患儿</w:t>
      </w:r>
      <w:r>
        <w:rPr>
          <w:rFonts w:ascii="宋体" w:hAnsi="宋体"/>
        </w:rPr>
        <w:t>的紧张恐惧情绪，</w:t>
      </w:r>
      <w:r>
        <w:rPr>
          <w:rFonts w:hint="eastAsia" w:ascii="宋体" w:hAnsi="宋体"/>
        </w:rPr>
        <w:t>争取患儿</w:t>
      </w:r>
      <w:r>
        <w:rPr>
          <w:rFonts w:ascii="宋体" w:hAnsi="宋体"/>
        </w:rPr>
        <w:t>能主动配合操作。</w:t>
      </w:r>
      <w:bookmarkEnd w:id="194"/>
      <w:bookmarkEnd w:id="195"/>
    </w:p>
    <w:p w14:paraId="1D89AB53">
      <w:pPr>
        <w:spacing w:line="276" w:lineRule="auto"/>
        <w:ind w:firstLine="420" w:firstLineChars="200"/>
        <w:rPr>
          <w:rFonts w:hint="eastAsia" w:ascii="宋体" w:hAnsi="宋体"/>
        </w:rPr>
      </w:pPr>
      <w:r>
        <w:rPr>
          <w:rFonts w:hint="eastAsia" w:ascii="宋体" w:hAnsi="宋体"/>
          <w:lang w:val="en-US" w:eastAsia="zh-CN"/>
        </w:rPr>
        <w:t xml:space="preserve">c) </w:t>
      </w:r>
      <w:r>
        <w:rPr>
          <w:rFonts w:hint="eastAsia" w:ascii="宋体" w:hAnsi="宋体"/>
        </w:rPr>
        <w:t>插入胃管应考虑使用疼痛管理或镇静措施，考虑并计划采用适合患儿年龄的固定方法和非药物分散注意力的技术。如适用，对1岁以下的患儿可使用蔗糖；对于2岁以上的患儿可考虑使用局部麻醉鼻喷雾剂。</w:t>
      </w:r>
    </w:p>
    <w:p w14:paraId="457E44CD">
      <w:pPr>
        <w:pStyle w:val="12"/>
        <w:snapToGrid w:val="0"/>
        <w:spacing w:before="157" w:beforeLines="50" w:after="157" w:afterLines="50" w:line="276" w:lineRule="auto"/>
        <w:jc w:val="left"/>
        <w:outlineLvl w:val="9"/>
        <w:rPr>
          <w:rFonts w:hint="eastAsia" w:ascii="黑体" w:hAnsi="黑体" w:eastAsia="黑体" w:cs="Arial"/>
          <w:b w:val="0"/>
          <w:spacing w:val="8"/>
          <w:kern w:val="0"/>
          <w:sz w:val="21"/>
        </w:rPr>
      </w:pPr>
      <w:bookmarkStart w:id="196" w:name="_Toc372796854"/>
      <w:bookmarkStart w:id="197" w:name="_Toc372797562"/>
      <w:r>
        <w:rPr>
          <w:rFonts w:hint="eastAsia" w:ascii="黑体" w:hAnsi="黑体" w:eastAsia="黑体" w:cs="Arial"/>
          <w:b w:val="0"/>
          <w:spacing w:val="8"/>
          <w:kern w:val="0"/>
          <w:sz w:val="21"/>
        </w:rPr>
        <w:t>6.1.5  患儿体位</w:t>
      </w:r>
      <w:bookmarkEnd w:id="196"/>
      <w:bookmarkEnd w:id="197"/>
    </w:p>
    <w:p w14:paraId="1822486A">
      <w:pPr>
        <w:spacing w:line="276" w:lineRule="auto"/>
        <w:ind w:firstLine="420" w:firstLineChars="200"/>
        <w:rPr>
          <w:rFonts w:hint="eastAsia" w:ascii="宋体" w:hAnsi="宋体"/>
        </w:rPr>
      </w:pPr>
      <w:bookmarkStart w:id="198" w:name="_Toc372797563"/>
      <w:bookmarkStart w:id="199" w:name="_Toc372796855"/>
      <w:r>
        <w:rPr>
          <w:rFonts w:hint="eastAsia" w:ascii="宋体" w:hAnsi="宋体"/>
        </w:rPr>
        <w:t>能配合的患儿取半坐卧位或坐位，可减少胃管通过咽喉部时引起呕吐反射。昏迷或哭闹不合作的患儿取仰卧位或右侧卧位。灌药时取半卧位，</w:t>
      </w:r>
      <w:r>
        <w:rPr>
          <w:rFonts w:ascii="宋体" w:hAnsi="宋体"/>
        </w:rPr>
        <w:t>颌下铺治疗巾。</w:t>
      </w:r>
      <w:bookmarkEnd w:id="198"/>
      <w:bookmarkEnd w:id="199"/>
    </w:p>
    <w:p w14:paraId="7640B91C">
      <w:pPr>
        <w:tabs>
          <w:tab w:val="left" w:pos="360"/>
          <w:tab w:val="left" w:pos="540"/>
        </w:tabs>
        <w:spacing w:before="157" w:beforeLines="50" w:after="157" w:afterLines="50" w:line="276" w:lineRule="auto"/>
        <w:outlineLvl w:val="1"/>
        <w:rPr>
          <w:rFonts w:hint="eastAsia" w:ascii="黑体" w:hAnsi="黑体" w:eastAsia="黑体"/>
        </w:rPr>
      </w:pPr>
      <w:bookmarkStart w:id="200" w:name="_Toc372796856"/>
      <w:bookmarkStart w:id="201" w:name="_Toc27374"/>
      <w:bookmarkStart w:id="202" w:name="_Toc372797564"/>
      <w:r>
        <w:rPr>
          <w:rFonts w:hint="eastAsia" w:ascii="黑体" w:hAnsi="黑体" w:eastAsia="黑体"/>
        </w:rPr>
        <w:t>6.2</w:t>
      </w:r>
      <w:r>
        <w:rPr>
          <w:rFonts w:hint="eastAsia" w:ascii="黑体" w:hAnsi="黑体" w:eastAsia="黑体"/>
          <w:lang w:val="en-US" w:eastAsia="zh-CN"/>
        </w:rPr>
        <w:t xml:space="preserve"> </w:t>
      </w:r>
      <w:r>
        <w:rPr>
          <w:rFonts w:hint="eastAsia" w:ascii="黑体" w:hAnsi="黑体" w:eastAsia="黑体"/>
        </w:rPr>
        <w:t>操作方法</w:t>
      </w:r>
      <w:bookmarkEnd w:id="200"/>
      <w:bookmarkEnd w:id="201"/>
      <w:bookmarkEnd w:id="202"/>
    </w:p>
    <w:p w14:paraId="2C0A66A0">
      <w:pPr>
        <w:pStyle w:val="12"/>
        <w:snapToGrid w:val="0"/>
        <w:spacing w:before="157" w:beforeLines="50" w:after="157" w:afterLines="50" w:line="276" w:lineRule="auto"/>
        <w:jc w:val="left"/>
        <w:outlineLvl w:val="9"/>
        <w:rPr>
          <w:rFonts w:hint="eastAsia" w:ascii="黑体" w:hAnsi="黑体" w:eastAsia="黑体" w:cs="Arial"/>
          <w:b w:val="0"/>
          <w:spacing w:val="8"/>
          <w:kern w:val="0"/>
          <w:sz w:val="21"/>
        </w:rPr>
      </w:pPr>
      <w:bookmarkStart w:id="203" w:name="_Toc372797565"/>
      <w:bookmarkStart w:id="204" w:name="_Toc372796857"/>
      <w:r>
        <w:rPr>
          <w:rFonts w:hint="eastAsia" w:ascii="黑体" w:hAnsi="黑体" w:eastAsia="黑体" w:cs="Arial"/>
          <w:b w:val="0"/>
          <w:spacing w:val="8"/>
          <w:kern w:val="0"/>
          <w:sz w:val="21"/>
        </w:rPr>
        <w:t xml:space="preserve">6.2.1  </w:t>
      </w:r>
      <w:r>
        <w:rPr>
          <w:rFonts w:ascii="黑体" w:hAnsi="黑体" w:eastAsia="黑体" w:cs="Arial"/>
          <w:b w:val="0"/>
          <w:spacing w:val="8"/>
          <w:kern w:val="0"/>
          <w:sz w:val="21"/>
        </w:rPr>
        <w:t>插胃管法</w:t>
      </w:r>
      <w:bookmarkEnd w:id="203"/>
      <w:bookmarkEnd w:id="204"/>
    </w:p>
    <w:p w14:paraId="260FE0EB">
      <w:pPr>
        <w:spacing w:line="276" w:lineRule="auto"/>
        <w:ind w:firstLine="420" w:firstLineChars="200"/>
        <w:rPr>
          <w:rFonts w:hint="eastAsia" w:ascii="宋体" w:hAnsi="宋体"/>
        </w:rPr>
      </w:pPr>
      <w:r>
        <w:rPr>
          <w:rFonts w:hint="eastAsia" w:ascii="宋体" w:hAnsi="宋体"/>
          <w:lang w:val="en-US" w:eastAsia="zh-CN"/>
        </w:rPr>
        <w:t xml:space="preserve">a) </w:t>
      </w:r>
      <w:r>
        <w:rPr>
          <w:rFonts w:hint="eastAsia" w:ascii="宋体" w:hAnsi="宋体"/>
        </w:rPr>
        <w:t>操作前先检查胃管是否通畅，</w:t>
      </w:r>
      <w:r>
        <w:rPr>
          <w:rFonts w:ascii="宋体" w:hAnsi="宋体"/>
        </w:rPr>
        <w:t>用液体石蜡纱</w:t>
      </w:r>
      <w:r>
        <w:t>布润滑胃管前段约10cm～15cm。</w:t>
      </w:r>
    </w:p>
    <w:p w14:paraId="4A345436">
      <w:pPr>
        <w:spacing w:line="276" w:lineRule="auto"/>
        <w:ind w:firstLine="420" w:firstLineChars="200"/>
        <w:rPr>
          <w:rFonts w:hint="eastAsia" w:ascii="宋体" w:hAnsi="宋体"/>
        </w:rPr>
      </w:pPr>
      <w:r>
        <w:rPr>
          <w:rFonts w:hint="eastAsia" w:ascii="宋体" w:hAnsi="宋体"/>
          <w:lang w:val="en-US" w:eastAsia="zh-CN"/>
        </w:rPr>
        <w:t xml:space="preserve">b) </w:t>
      </w:r>
      <w:r>
        <w:rPr>
          <w:rFonts w:hint="eastAsia" w:ascii="宋体" w:hAnsi="宋体"/>
        </w:rPr>
        <w:t>操作者站在患儿右侧，</w:t>
      </w:r>
      <w:r>
        <w:rPr>
          <w:rFonts w:ascii="宋体" w:hAnsi="宋体"/>
        </w:rPr>
        <w:t>一手用纱布托持胃管，另一手用镊子夹住胃管，沿</w:t>
      </w:r>
      <w:r>
        <w:rPr>
          <w:rFonts w:hint="eastAsia" w:ascii="宋体" w:hAnsi="宋体"/>
        </w:rPr>
        <w:t>患儿</w:t>
      </w:r>
      <w:r>
        <w:rPr>
          <w:rFonts w:ascii="宋体" w:hAnsi="宋体"/>
        </w:rPr>
        <w:t>一侧鼻孔轻轻插入</w:t>
      </w:r>
      <w:r>
        <w:rPr>
          <w:rFonts w:hint="eastAsia" w:ascii="宋体" w:hAnsi="宋体"/>
        </w:rPr>
        <w:t>，</w:t>
      </w:r>
      <w:r>
        <w:rPr>
          <w:rFonts w:ascii="宋体" w:hAnsi="宋体"/>
        </w:rPr>
        <w:t>至咽喉时</w:t>
      </w:r>
      <w:r>
        <w:rPr>
          <w:rFonts w:hint="eastAsia" w:ascii="宋体" w:hAnsi="宋体"/>
        </w:rPr>
        <w:t>患儿</w:t>
      </w:r>
      <w:r>
        <w:rPr>
          <w:rFonts w:ascii="宋体" w:hAnsi="宋体"/>
        </w:rPr>
        <w:t>可能出现恶心反应，及时与患</w:t>
      </w:r>
      <w:r>
        <w:rPr>
          <w:rFonts w:hint="eastAsia" w:ascii="宋体" w:hAnsi="宋体"/>
        </w:rPr>
        <w:t>儿</w:t>
      </w:r>
      <w:r>
        <w:rPr>
          <w:rFonts w:ascii="宋体" w:hAnsi="宋体"/>
        </w:rPr>
        <w:t>沟通</w:t>
      </w:r>
      <w:r>
        <w:rPr>
          <w:rFonts w:hint="eastAsia" w:ascii="宋体" w:hAnsi="宋体"/>
        </w:rPr>
        <w:t>安抚</w:t>
      </w:r>
      <w:r>
        <w:rPr>
          <w:rFonts w:ascii="宋体" w:hAnsi="宋体"/>
        </w:rPr>
        <w:t>，指导</w:t>
      </w:r>
      <w:r>
        <w:rPr>
          <w:rFonts w:hint="eastAsia" w:ascii="宋体" w:hAnsi="宋体"/>
        </w:rPr>
        <w:t>大年龄</w:t>
      </w:r>
      <w:r>
        <w:rPr>
          <w:rFonts w:ascii="宋体" w:hAnsi="宋体"/>
        </w:rPr>
        <w:t>患</w:t>
      </w:r>
      <w:r>
        <w:rPr>
          <w:rFonts w:hint="eastAsia" w:ascii="宋体" w:hAnsi="宋体"/>
        </w:rPr>
        <w:t>儿</w:t>
      </w:r>
      <w:r>
        <w:rPr>
          <w:rFonts w:ascii="宋体" w:hAnsi="宋体"/>
        </w:rPr>
        <w:t>做吞咽动作，同时将胃管缓慢插入。</w:t>
      </w:r>
    </w:p>
    <w:p w14:paraId="548F8856">
      <w:pPr>
        <w:spacing w:line="276" w:lineRule="auto"/>
        <w:ind w:firstLine="420" w:firstLineChars="200"/>
        <w:rPr>
          <w:rFonts w:hint="eastAsia" w:ascii="宋体" w:hAnsi="宋体"/>
        </w:rPr>
      </w:pPr>
      <w:r>
        <w:rPr>
          <w:rFonts w:hint="eastAsia" w:ascii="宋体" w:hAnsi="宋体"/>
          <w:lang w:val="en-US" w:eastAsia="zh-CN"/>
        </w:rPr>
        <w:t xml:space="preserve">c) </w:t>
      </w:r>
      <w:r>
        <w:rPr>
          <w:rFonts w:ascii="宋体" w:hAnsi="宋体"/>
        </w:rPr>
        <w:t>如发生呛咳、呼吸困难、紫绀等情况，表示误入气道，应立即拔出，休息片刻后重插。</w:t>
      </w:r>
      <w:r>
        <w:rPr>
          <w:rFonts w:hint="eastAsia" w:ascii="宋体" w:hAnsi="宋体"/>
        </w:rPr>
        <w:t>插入不畅或遇到阻力时，应停止推进，检查胃管是否盘曲在口中；或将胃管拔出少许（可回撤1cm～2cm），调整方向、轻微旋转胃管后再缓慢插入，切勿强行推送。如患儿出现呼吸窘迫，应立即停止操作。</w:t>
      </w:r>
    </w:p>
    <w:p w14:paraId="216E3A96">
      <w:pPr>
        <w:spacing w:line="276" w:lineRule="auto"/>
        <w:ind w:firstLine="420" w:firstLineChars="200"/>
        <w:rPr>
          <w:rFonts w:hint="eastAsia" w:ascii="宋体" w:hAnsi="宋体"/>
        </w:rPr>
      </w:pPr>
      <w:r>
        <w:rPr>
          <w:rFonts w:hint="eastAsia" w:ascii="宋体" w:hAnsi="宋体"/>
          <w:lang w:val="en-US" w:eastAsia="zh-CN"/>
        </w:rPr>
        <w:t xml:space="preserve">d) </w:t>
      </w:r>
      <w:r>
        <w:rPr>
          <w:rFonts w:ascii="宋体" w:hAnsi="宋体"/>
        </w:rPr>
        <w:t>昏迷</w:t>
      </w:r>
      <w:r>
        <w:rPr>
          <w:rFonts w:hint="eastAsia" w:ascii="宋体" w:hAnsi="宋体"/>
        </w:rPr>
        <w:t>患儿</w:t>
      </w:r>
      <w:r>
        <w:rPr>
          <w:rFonts w:ascii="宋体" w:hAnsi="宋体"/>
        </w:rPr>
        <w:t>因吞咽反射和咳嗽反射消失，不能合作，为提高插管的成功率，</w:t>
      </w:r>
      <w:r>
        <w:rPr>
          <w:rFonts w:hint="eastAsia" w:ascii="宋体" w:hAnsi="宋体"/>
        </w:rPr>
        <w:t>可</w:t>
      </w:r>
      <w:r>
        <w:rPr>
          <w:rFonts w:ascii="宋体" w:hAnsi="宋体"/>
        </w:rPr>
        <w:t>采用双枕垫头快速插管法</w:t>
      </w:r>
      <w:r>
        <w:rPr>
          <w:rFonts w:hint="eastAsia" w:ascii="宋体" w:hAnsi="宋体"/>
        </w:rPr>
        <w:t>。先给患儿去枕，平卧；当胃管插至会厌部时再</w:t>
      </w:r>
      <w:r>
        <w:rPr>
          <w:rFonts w:ascii="宋体" w:hAnsi="宋体"/>
        </w:rPr>
        <w:t>将两枕垫于患</w:t>
      </w:r>
      <w:r>
        <w:rPr>
          <w:rFonts w:hint="eastAsia" w:ascii="宋体" w:hAnsi="宋体"/>
        </w:rPr>
        <w:t>儿</w:t>
      </w:r>
      <w:r>
        <w:rPr>
          <w:rFonts w:ascii="宋体" w:hAnsi="宋体"/>
        </w:rPr>
        <w:t>头下，使其下颌尽量贴近胸骨柄</w:t>
      </w:r>
      <w:r>
        <w:rPr>
          <w:rFonts w:hint="eastAsia" w:ascii="宋体" w:hAnsi="宋体"/>
        </w:rPr>
        <w:t>；严密观察患儿的病情变化，待脉搏和呼吸恢复平稳后，再继续插管；</w:t>
      </w:r>
      <w:r>
        <w:rPr>
          <w:rFonts w:ascii="宋体" w:hAnsi="宋体"/>
        </w:rPr>
        <w:t>双手</w:t>
      </w:r>
      <w:r>
        <w:rPr>
          <w:rFonts w:hint="eastAsia" w:ascii="宋体" w:hAnsi="宋体"/>
        </w:rPr>
        <w:t>交替</w:t>
      </w:r>
      <w:r>
        <w:rPr>
          <w:rFonts w:ascii="宋体" w:hAnsi="宋体"/>
        </w:rPr>
        <w:t>快速插管，</w:t>
      </w:r>
      <w:r>
        <w:rPr>
          <w:rFonts w:hint="eastAsia" w:ascii="宋体" w:hAnsi="宋体"/>
        </w:rPr>
        <w:t>动作要轻柔；同时，双手向同一方向稍作捻转胃管，以增加胃管的韧性；</w:t>
      </w:r>
      <w:r>
        <w:rPr>
          <w:rFonts w:ascii="宋体" w:hAnsi="宋体"/>
        </w:rPr>
        <w:t>使管端沿</w:t>
      </w:r>
      <w:r>
        <w:rPr>
          <w:rFonts w:hint="eastAsia" w:ascii="宋体" w:hAnsi="宋体"/>
        </w:rPr>
        <w:t>着咽、</w:t>
      </w:r>
      <w:r>
        <w:rPr>
          <w:rFonts w:ascii="宋体" w:hAnsi="宋体"/>
        </w:rPr>
        <w:t>食管后壁滑行至胃内</w:t>
      </w:r>
      <w:r>
        <w:rPr>
          <w:rFonts w:hint="eastAsia" w:ascii="宋体" w:hAnsi="宋体"/>
        </w:rPr>
        <w:t>。</w:t>
      </w:r>
    </w:p>
    <w:p w14:paraId="1CCA6330">
      <w:pPr>
        <w:spacing w:line="276" w:lineRule="auto"/>
        <w:ind w:firstLine="420" w:firstLineChars="200"/>
        <w:rPr>
          <w:rFonts w:hint="eastAsia" w:ascii="宋体" w:hAnsi="宋体"/>
        </w:rPr>
      </w:pPr>
      <w:r>
        <w:rPr>
          <w:rFonts w:hint="eastAsia" w:ascii="宋体" w:hAnsi="宋体"/>
          <w:lang w:val="en-US" w:eastAsia="zh-CN"/>
        </w:rPr>
        <w:t xml:space="preserve">e) </w:t>
      </w:r>
      <w:r>
        <w:rPr>
          <w:rFonts w:ascii="宋体" w:hAnsi="宋体"/>
        </w:rPr>
        <w:t>胃管插入长度的测量方法是从</w:t>
      </w:r>
      <w:r>
        <w:rPr>
          <w:rFonts w:hint="eastAsia" w:ascii="宋体" w:hAnsi="宋体"/>
        </w:rPr>
        <w:t>患儿</w:t>
      </w:r>
      <w:r>
        <w:rPr>
          <w:rFonts w:ascii="宋体" w:hAnsi="宋体"/>
        </w:rPr>
        <w:t>眉心</w:t>
      </w:r>
      <w:r>
        <w:rPr>
          <w:rFonts w:hint="eastAsia" w:ascii="宋体" w:hAnsi="宋体"/>
        </w:rPr>
        <w:t>至剑突与</w:t>
      </w:r>
      <w:r>
        <w:rPr>
          <w:rFonts w:ascii="宋体" w:hAnsi="宋体"/>
        </w:rPr>
        <w:t>脐</w:t>
      </w:r>
      <w:r>
        <w:rPr>
          <w:rFonts w:hint="eastAsia" w:ascii="宋体" w:hAnsi="宋体"/>
        </w:rPr>
        <w:t>中点</w:t>
      </w:r>
      <w:r>
        <w:rPr>
          <w:rFonts w:ascii="宋体" w:hAnsi="宋体"/>
        </w:rPr>
        <w:t>的</w:t>
      </w:r>
      <w:r>
        <w:rPr>
          <w:rFonts w:hint="eastAsia" w:ascii="宋体" w:hAnsi="宋体"/>
        </w:rPr>
        <w:t>距离</w:t>
      </w:r>
      <w:r>
        <w:rPr>
          <w:rFonts w:ascii="宋体" w:hAnsi="宋体"/>
        </w:rPr>
        <w:t>，</w:t>
      </w:r>
      <w:r>
        <w:rPr>
          <w:rFonts w:hint="eastAsia" w:ascii="宋体" w:hAnsi="宋体"/>
        </w:rPr>
        <w:t>这样</w:t>
      </w:r>
      <w:r>
        <w:rPr>
          <w:rFonts w:ascii="宋体" w:hAnsi="宋体"/>
        </w:rPr>
        <w:t>可到达胃体、胃窦部，可有效地</w:t>
      </w:r>
      <w:r>
        <w:rPr>
          <w:rFonts w:hint="eastAsia" w:ascii="宋体" w:hAnsi="宋体"/>
        </w:rPr>
        <w:t>测知</w:t>
      </w:r>
      <w:r>
        <w:rPr>
          <w:rFonts w:ascii="宋体" w:hAnsi="宋体"/>
        </w:rPr>
        <w:t>胃内容物。</w:t>
      </w:r>
    </w:p>
    <w:p w14:paraId="1B4BE1FC">
      <w:pPr>
        <w:spacing w:line="276" w:lineRule="auto"/>
        <w:ind w:firstLine="420" w:firstLineChars="200"/>
        <w:rPr>
          <w:rFonts w:hint="eastAsia" w:ascii="宋体" w:hAnsi="宋体"/>
        </w:rPr>
      </w:pPr>
      <w:r>
        <w:rPr>
          <w:rFonts w:hint="eastAsia" w:ascii="宋体" w:hAnsi="宋体"/>
          <w:lang w:val="en-US" w:eastAsia="zh-CN"/>
        </w:rPr>
        <w:t xml:space="preserve">f) </w:t>
      </w:r>
      <w:r>
        <w:rPr>
          <w:rFonts w:hint="eastAsia" w:ascii="宋体" w:hAnsi="宋体"/>
        </w:rPr>
        <w:t>插管到达预定长度后，首选抽吸胃液测定pH值，pH在1</w:t>
      </w:r>
      <w:r>
        <w:t>～</w:t>
      </w:r>
      <w:r>
        <w:rPr>
          <w:rFonts w:hint="eastAsia" w:ascii="宋体" w:hAnsi="宋体"/>
        </w:rPr>
        <w:t>5.5可确认胃管在胃内。X射线检查是验证位置的金标准，必要时可采用X射线检查以确认。听诊气过水声、气泡观察法及患儿无呼吸窘迫等不推荐单独使用作为确认方法。若确认不在胃内需重新插管。</w:t>
      </w:r>
    </w:p>
    <w:p w14:paraId="49294734">
      <w:pPr>
        <w:spacing w:line="276" w:lineRule="auto"/>
        <w:ind w:firstLine="420" w:firstLineChars="200"/>
        <w:rPr>
          <w:rFonts w:hint="eastAsia" w:ascii="宋体" w:hAnsi="宋体"/>
        </w:rPr>
      </w:pPr>
      <w:r>
        <w:rPr>
          <w:rFonts w:hint="eastAsia" w:ascii="宋体" w:hAnsi="宋体"/>
          <w:lang w:val="en-US" w:eastAsia="zh-CN"/>
        </w:rPr>
        <w:t>g)</w:t>
      </w:r>
      <w:r>
        <w:rPr>
          <w:rFonts w:ascii="宋体" w:hAnsi="宋体"/>
        </w:rPr>
        <w:t>用胶布粘贴法固定胃管于鼻翼或颊部。由于</w:t>
      </w:r>
      <w:r>
        <w:rPr>
          <w:rFonts w:hint="eastAsia" w:ascii="宋体" w:hAnsi="宋体"/>
        </w:rPr>
        <w:t>患儿</w:t>
      </w:r>
      <w:r>
        <w:rPr>
          <w:rFonts w:ascii="宋体" w:hAnsi="宋体"/>
        </w:rPr>
        <w:t>鼻部出汗或分泌油脂、</w:t>
      </w:r>
      <w:r>
        <w:rPr>
          <w:rFonts w:hint="eastAsia" w:ascii="宋体" w:hAnsi="宋体"/>
        </w:rPr>
        <w:t>患儿</w:t>
      </w:r>
      <w:r>
        <w:rPr>
          <w:rFonts w:ascii="宋体" w:hAnsi="宋体"/>
        </w:rPr>
        <w:t>翻身活动等，胶布都有可能脱落，从而导致胃管脱出</w:t>
      </w:r>
      <w:r>
        <w:rPr>
          <w:rFonts w:hint="eastAsia" w:ascii="宋体" w:hAnsi="宋体"/>
        </w:rPr>
        <w:t>，</w:t>
      </w:r>
      <w:r>
        <w:rPr>
          <w:rFonts w:ascii="宋体" w:hAnsi="宋体"/>
        </w:rPr>
        <w:t>固定方法</w:t>
      </w:r>
      <w:r>
        <w:rPr>
          <w:rFonts w:hint="eastAsia" w:ascii="宋体" w:hAnsi="宋体"/>
        </w:rPr>
        <w:t>也可</w:t>
      </w:r>
      <w:r>
        <w:rPr>
          <w:rFonts w:ascii="宋体" w:hAnsi="宋体"/>
        </w:rPr>
        <w:t>使用</w:t>
      </w:r>
      <w:r>
        <w:rPr>
          <w:rFonts w:hint="eastAsia" w:ascii="宋体" w:hAnsi="宋体"/>
        </w:rPr>
        <w:t>细</w:t>
      </w:r>
      <w:r>
        <w:rPr>
          <w:rFonts w:ascii="宋体" w:hAnsi="宋体"/>
        </w:rPr>
        <w:t>线</w:t>
      </w:r>
      <w:r>
        <w:rPr>
          <w:rFonts w:hint="eastAsia" w:ascii="宋体" w:hAnsi="宋体"/>
        </w:rPr>
        <w:t>扎牢</w:t>
      </w:r>
      <w:r>
        <w:rPr>
          <w:rFonts w:ascii="宋体" w:hAnsi="宋体"/>
        </w:rPr>
        <w:t>胃管，系于患</w:t>
      </w:r>
      <w:r>
        <w:rPr>
          <w:rFonts w:hint="eastAsia" w:ascii="宋体" w:hAnsi="宋体"/>
        </w:rPr>
        <w:t>儿</w:t>
      </w:r>
      <w:r>
        <w:rPr>
          <w:rFonts w:ascii="宋体" w:hAnsi="宋体"/>
        </w:rPr>
        <w:t>的耳后</w:t>
      </w:r>
      <w:r>
        <w:rPr>
          <w:rFonts w:hint="eastAsia" w:ascii="宋体" w:hAnsi="宋体"/>
        </w:rPr>
        <w:t>枕部</w:t>
      </w:r>
      <w:r>
        <w:rPr>
          <w:rFonts w:ascii="宋体" w:hAnsi="宋体"/>
        </w:rPr>
        <w:t>，定期观察患</w:t>
      </w:r>
      <w:r>
        <w:rPr>
          <w:rFonts w:hint="eastAsia" w:ascii="宋体" w:hAnsi="宋体"/>
        </w:rPr>
        <w:t>儿</w:t>
      </w:r>
      <w:r>
        <w:rPr>
          <w:rFonts w:ascii="宋体" w:hAnsi="宋体"/>
        </w:rPr>
        <w:t>耳后皮肤情况。</w:t>
      </w:r>
    </w:p>
    <w:p w14:paraId="4F9D7ABE">
      <w:pPr>
        <w:spacing w:line="276" w:lineRule="auto"/>
        <w:ind w:firstLine="420" w:firstLineChars="200"/>
        <w:rPr>
          <w:rFonts w:hint="eastAsia" w:ascii="宋体" w:hAnsi="宋体"/>
        </w:rPr>
      </w:pPr>
      <w:r>
        <w:rPr>
          <w:rFonts w:hint="eastAsia" w:ascii="宋体" w:hAnsi="宋体"/>
          <w:lang w:val="en-US" w:eastAsia="zh-CN"/>
        </w:rPr>
        <w:t xml:space="preserve">h) </w:t>
      </w:r>
      <w:r>
        <w:rPr>
          <w:rFonts w:ascii="宋体" w:hAnsi="宋体"/>
        </w:rPr>
        <w:t>整理床单，清理用物，将注射器洗净后放入治疗碗内，盖纱布备用。</w:t>
      </w:r>
    </w:p>
    <w:p w14:paraId="677AB798">
      <w:pPr>
        <w:widowControl/>
        <w:snapToGrid w:val="0"/>
        <w:spacing w:before="157" w:beforeLines="50" w:after="157" w:afterLines="50" w:line="276" w:lineRule="auto"/>
        <w:jc w:val="left"/>
        <w:outlineLvl w:val="9"/>
        <w:rPr>
          <w:rFonts w:hint="eastAsia" w:ascii="黑体" w:hAnsi="黑体" w:eastAsia="黑体" w:cs="Arial"/>
          <w:spacing w:val="8"/>
          <w:kern w:val="0"/>
        </w:rPr>
      </w:pPr>
      <w:bookmarkStart w:id="205" w:name="_Toc372797566"/>
      <w:r>
        <w:rPr>
          <w:rFonts w:hint="eastAsia" w:ascii="黑体" w:hAnsi="黑体" w:eastAsia="黑体" w:cs="Arial"/>
          <w:spacing w:val="8"/>
          <w:kern w:val="0"/>
        </w:rPr>
        <w:t>6.2.2  鼻饲中药法</w:t>
      </w:r>
      <w:bookmarkEnd w:id="205"/>
    </w:p>
    <w:p w14:paraId="69E223A0">
      <w:pPr>
        <w:spacing w:line="276" w:lineRule="auto"/>
        <w:ind w:firstLine="420" w:firstLineChars="200"/>
      </w:pPr>
      <w:r>
        <w:rPr>
          <w:rFonts w:hint="eastAsia"/>
          <w:lang w:val="en-US" w:eastAsia="zh-CN"/>
        </w:rPr>
        <w:t xml:space="preserve">a) </w:t>
      </w:r>
      <w:r>
        <w:t>将准备好的中药汤剂或中成药（液体制剂适当稀释，固体制剂须用温开水化开，不能化开的固体制剂不可用于鼻饲）吸入注射器，从胃管缓慢注入。</w:t>
      </w:r>
    </w:p>
    <w:p w14:paraId="237D9010">
      <w:pPr>
        <w:spacing w:line="276" w:lineRule="auto"/>
        <w:ind w:firstLine="420" w:firstLineChars="200"/>
      </w:pPr>
      <w:r>
        <w:rPr>
          <w:rFonts w:hint="eastAsia"/>
          <w:lang w:val="en-US" w:eastAsia="zh-CN"/>
        </w:rPr>
        <w:t xml:space="preserve">b) </w:t>
      </w:r>
      <w:r>
        <w:t>药液要冷却至38℃～40℃，可用水温计测量确定后再注入。鼻饲药液温度过高或过低，可能烫伤或冻伤黏膜。</w:t>
      </w:r>
    </w:p>
    <w:p w14:paraId="230C6E9C">
      <w:pPr>
        <w:spacing w:line="276" w:lineRule="auto"/>
        <w:ind w:firstLine="420" w:firstLineChars="200"/>
        <w:rPr>
          <w:rFonts w:hint="eastAsia" w:ascii="宋体" w:hAnsi="宋体"/>
        </w:rPr>
      </w:pPr>
      <w:r>
        <w:rPr>
          <w:rFonts w:hint="eastAsia"/>
          <w:lang w:val="en-US" w:eastAsia="zh-CN"/>
        </w:rPr>
        <w:t xml:space="preserve">c) </w:t>
      </w:r>
      <w:r>
        <w:t>每次鼻饲前先抽出多余的胃液，再将药液注入。每次鼻饲药液量参照儿科汤剂服药剂量，最多不超过50mL～100mL，</w:t>
      </w:r>
      <w:r>
        <w:rPr>
          <w:rFonts w:hint="eastAsia"/>
        </w:rPr>
        <w:t>28天以下患儿</w:t>
      </w:r>
      <w:r>
        <w:t>每次</w:t>
      </w:r>
      <w:r>
        <w:rPr>
          <w:rFonts w:hint="eastAsia"/>
        </w:rPr>
        <w:t>3</w:t>
      </w:r>
      <w:r>
        <w:t>mL～</w:t>
      </w:r>
      <w:r>
        <w:rPr>
          <w:rFonts w:hint="eastAsia"/>
        </w:rPr>
        <w:t>5</w:t>
      </w:r>
      <w:r>
        <w:t>mL、早产小样儿每次</w:t>
      </w:r>
      <w:r>
        <w:rPr>
          <w:rFonts w:hint="eastAsia"/>
        </w:rPr>
        <w:t>1</w:t>
      </w:r>
      <w:r>
        <w:t>mL～</w:t>
      </w:r>
      <w:r>
        <w:rPr>
          <w:rFonts w:hint="eastAsia"/>
        </w:rPr>
        <w:t>3</w:t>
      </w:r>
      <w:r>
        <w:t>mL，每日药量分3～5次灌服，每次间隔时间大致相等而不少于2</w:t>
      </w:r>
      <w:r>
        <w:rPr>
          <w:rFonts w:hint="eastAsia"/>
        </w:rPr>
        <w:t>h</w:t>
      </w:r>
      <w:r>
        <w:rPr>
          <w:rFonts w:ascii="宋体" w:hAnsi="宋体"/>
        </w:rPr>
        <w:t>。</w:t>
      </w:r>
    </w:p>
    <w:p w14:paraId="2EFC2460">
      <w:pPr>
        <w:widowControl/>
        <w:snapToGrid w:val="0"/>
        <w:spacing w:before="157" w:beforeLines="50" w:after="157" w:afterLines="50" w:line="276" w:lineRule="auto"/>
        <w:jc w:val="left"/>
        <w:outlineLvl w:val="9"/>
        <w:rPr>
          <w:rFonts w:hint="eastAsia" w:ascii="黑体" w:hAnsi="黑体" w:eastAsia="黑体" w:cs="Arial"/>
          <w:spacing w:val="8"/>
          <w:kern w:val="0"/>
        </w:rPr>
      </w:pPr>
      <w:bookmarkStart w:id="206" w:name="_Toc372797567"/>
      <w:r>
        <w:rPr>
          <w:rFonts w:hint="eastAsia" w:ascii="黑体" w:hAnsi="黑体" w:eastAsia="黑体" w:cs="Arial"/>
          <w:spacing w:val="8"/>
          <w:kern w:val="0"/>
        </w:rPr>
        <w:t>6.2.3  操作后护理</w:t>
      </w:r>
      <w:bookmarkEnd w:id="206"/>
    </w:p>
    <w:p w14:paraId="1A0C3837">
      <w:pPr>
        <w:spacing w:line="276" w:lineRule="auto"/>
        <w:ind w:firstLine="420" w:firstLineChars="200"/>
      </w:pPr>
      <w:bookmarkStart w:id="207" w:name="_Toc372797568"/>
      <w:bookmarkStart w:id="208" w:name="_Toc372796858"/>
      <w:r>
        <w:t>鼻饲后：用温水10mL～20mL冲洗胃管，</w:t>
      </w:r>
      <w:r>
        <w:rPr>
          <w:rFonts w:hint="eastAsia"/>
        </w:rPr>
        <w:t>其中，28天以下患儿建议用温水3 mL～5 mL，</w:t>
      </w:r>
      <w:r>
        <w:t>避免药物残留在胃管内发酵或变质，引起</w:t>
      </w:r>
      <w:r>
        <w:rPr>
          <w:rFonts w:hint="eastAsia"/>
        </w:rPr>
        <w:t>患儿</w:t>
      </w:r>
      <w:r>
        <w:t>胃肠炎或堵塞管腔。将胃管末端盖帽固定，并用纱布包好，皮筋系紧，用安全别针固定于大单、枕旁或患儿衣领处。维持原卧位20min～30min。</w:t>
      </w:r>
      <w:bookmarkEnd w:id="207"/>
      <w:bookmarkEnd w:id="208"/>
    </w:p>
    <w:p w14:paraId="61D55871">
      <w:pPr>
        <w:spacing w:line="276" w:lineRule="auto"/>
        <w:ind w:firstLine="420" w:firstLineChars="200"/>
        <w:rPr>
          <w:rFonts w:hint="eastAsia" w:ascii="宋体" w:hAnsi="宋体"/>
        </w:rPr>
      </w:pPr>
      <w:r>
        <w:rPr>
          <w:rFonts w:ascii="宋体" w:hAnsi="宋体"/>
        </w:rPr>
        <w:t>记录</w:t>
      </w:r>
      <w:r>
        <w:rPr>
          <w:rFonts w:hint="eastAsia" w:ascii="宋体" w:hAnsi="宋体"/>
        </w:rPr>
        <w:t>患儿</w:t>
      </w:r>
      <w:r>
        <w:rPr>
          <w:rFonts w:ascii="宋体" w:hAnsi="宋体"/>
        </w:rPr>
        <w:t>反应及鼻饲量。</w:t>
      </w:r>
    </w:p>
    <w:p w14:paraId="50AEC54F">
      <w:pPr>
        <w:widowControl/>
        <w:snapToGrid w:val="0"/>
        <w:spacing w:before="157" w:beforeLines="50" w:after="157" w:afterLines="50" w:line="276" w:lineRule="auto"/>
        <w:jc w:val="left"/>
        <w:outlineLvl w:val="9"/>
        <w:rPr>
          <w:rFonts w:hint="eastAsia" w:ascii="黑体" w:hAnsi="黑体" w:eastAsia="黑体" w:cs="Arial"/>
          <w:spacing w:val="8"/>
          <w:kern w:val="0"/>
        </w:rPr>
      </w:pPr>
      <w:bookmarkStart w:id="209" w:name="_Toc372797569"/>
      <w:r>
        <w:rPr>
          <w:rFonts w:hint="eastAsia" w:ascii="黑体" w:hAnsi="黑体" w:eastAsia="黑体" w:cs="Arial"/>
          <w:spacing w:val="8"/>
          <w:kern w:val="0"/>
        </w:rPr>
        <w:t xml:space="preserve">6.2.4  </w:t>
      </w:r>
      <w:r>
        <w:rPr>
          <w:rFonts w:ascii="黑体" w:hAnsi="黑体" w:eastAsia="黑体" w:cs="Arial"/>
          <w:spacing w:val="8"/>
          <w:kern w:val="0"/>
        </w:rPr>
        <w:t>拔管法</w:t>
      </w:r>
      <w:bookmarkEnd w:id="209"/>
    </w:p>
    <w:p w14:paraId="5BD454DE">
      <w:pPr>
        <w:spacing w:line="276" w:lineRule="auto"/>
        <w:ind w:firstLine="420" w:firstLineChars="200"/>
        <w:rPr>
          <w:rFonts w:hint="eastAsia" w:ascii="宋体" w:hAnsi="宋体" w:eastAsia="宋体"/>
          <w:lang w:eastAsia="zh-CN"/>
        </w:rPr>
      </w:pPr>
      <w:r>
        <w:rPr>
          <w:rFonts w:hint="eastAsia" w:ascii="宋体" w:hAnsi="宋体"/>
          <w:lang w:val="en-US" w:eastAsia="zh-CN"/>
        </w:rPr>
        <w:t>拔管法适</w:t>
      </w:r>
      <w:r>
        <w:rPr>
          <w:rFonts w:ascii="宋体" w:hAnsi="宋体"/>
        </w:rPr>
        <w:t>用于患</w:t>
      </w:r>
      <w:r>
        <w:rPr>
          <w:rFonts w:hint="eastAsia" w:ascii="宋体" w:hAnsi="宋体"/>
        </w:rPr>
        <w:t>儿</w:t>
      </w:r>
      <w:r>
        <w:rPr>
          <w:rFonts w:ascii="宋体" w:hAnsi="宋体"/>
        </w:rPr>
        <w:t>停止鼻饲或长期鼻饲需要更换胃管时</w:t>
      </w:r>
      <w:r>
        <w:rPr>
          <w:rFonts w:hint="eastAsia" w:ascii="宋体" w:hAnsi="宋体"/>
          <w:lang w:eastAsia="zh-CN"/>
        </w:rPr>
        <w:t>：</w:t>
      </w:r>
    </w:p>
    <w:p w14:paraId="7BC8BB6F">
      <w:pPr>
        <w:spacing w:line="276" w:lineRule="auto"/>
        <w:ind w:firstLine="420" w:firstLineChars="200"/>
        <w:rPr>
          <w:rFonts w:hint="eastAsia" w:ascii="宋体" w:hAnsi="宋体"/>
        </w:rPr>
      </w:pPr>
      <w:r>
        <w:rPr>
          <w:rFonts w:hint="eastAsia" w:ascii="宋体" w:hAnsi="宋体"/>
          <w:lang w:val="en-US" w:eastAsia="zh-CN"/>
        </w:rPr>
        <w:t xml:space="preserve">a) </w:t>
      </w:r>
      <w:r>
        <w:rPr>
          <w:rFonts w:ascii="宋体" w:hAnsi="宋体"/>
        </w:rPr>
        <w:t>准备换药碗至</w:t>
      </w:r>
      <w:r>
        <w:rPr>
          <w:rFonts w:hint="eastAsia" w:ascii="宋体" w:hAnsi="宋体"/>
        </w:rPr>
        <w:t>患儿</w:t>
      </w:r>
      <w:r>
        <w:rPr>
          <w:rFonts w:ascii="宋体" w:hAnsi="宋体"/>
        </w:rPr>
        <w:t>床前，做好患</w:t>
      </w:r>
      <w:r>
        <w:rPr>
          <w:rFonts w:hint="eastAsia" w:ascii="宋体" w:hAnsi="宋体"/>
        </w:rPr>
        <w:t>儿</w:t>
      </w:r>
      <w:r>
        <w:rPr>
          <w:rFonts w:ascii="宋体" w:hAnsi="宋体"/>
        </w:rPr>
        <w:t>心理护理，</w:t>
      </w:r>
      <w:r>
        <w:rPr>
          <w:rFonts w:hint="eastAsia" w:ascii="宋体" w:hAnsi="宋体"/>
        </w:rPr>
        <w:t>尽量</w:t>
      </w:r>
      <w:r>
        <w:rPr>
          <w:rFonts w:ascii="宋体" w:hAnsi="宋体"/>
        </w:rPr>
        <w:t>取得配合。</w:t>
      </w:r>
    </w:p>
    <w:p w14:paraId="5ECB9C04">
      <w:pPr>
        <w:spacing w:line="276" w:lineRule="auto"/>
        <w:ind w:firstLine="420" w:firstLineChars="200"/>
        <w:rPr>
          <w:rFonts w:hint="eastAsia" w:ascii="宋体" w:hAnsi="宋体"/>
        </w:rPr>
      </w:pPr>
      <w:r>
        <w:rPr>
          <w:rFonts w:hint="eastAsia" w:ascii="宋体" w:hAnsi="宋体"/>
          <w:lang w:val="en-US" w:eastAsia="zh-CN"/>
        </w:rPr>
        <w:t xml:space="preserve">b) </w:t>
      </w:r>
      <w:r>
        <w:rPr>
          <w:rFonts w:ascii="宋体" w:hAnsi="宋体"/>
        </w:rPr>
        <w:t>将弯盘置于患</w:t>
      </w:r>
      <w:r>
        <w:rPr>
          <w:rFonts w:hint="eastAsia" w:ascii="宋体" w:hAnsi="宋体"/>
        </w:rPr>
        <w:t>儿</w:t>
      </w:r>
      <w:r>
        <w:rPr>
          <w:rFonts w:ascii="宋体" w:hAnsi="宋体"/>
        </w:rPr>
        <w:t>颌下，揭去固定物。</w:t>
      </w:r>
    </w:p>
    <w:p w14:paraId="442D27AF">
      <w:pPr>
        <w:spacing w:line="276" w:lineRule="auto"/>
        <w:ind w:firstLine="420" w:firstLineChars="200"/>
        <w:rPr>
          <w:rFonts w:hint="eastAsia" w:ascii="宋体" w:hAnsi="宋体"/>
        </w:rPr>
      </w:pPr>
      <w:r>
        <w:rPr>
          <w:rFonts w:hint="eastAsia" w:ascii="宋体" w:hAnsi="宋体"/>
          <w:lang w:val="en-US" w:eastAsia="zh-CN"/>
        </w:rPr>
        <w:t xml:space="preserve">c) </w:t>
      </w:r>
      <w:r>
        <w:rPr>
          <w:rFonts w:hint="eastAsia" w:ascii="宋体" w:hAnsi="宋体"/>
        </w:rPr>
        <w:t>操作者</w:t>
      </w:r>
      <w:r>
        <w:rPr>
          <w:rFonts w:ascii="宋体" w:hAnsi="宋体"/>
        </w:rPr>
        <w:t>戴无菌手套,用纱布包裹鼻孔处的胃管，指导</w:t>
      </w:r>
      <w:r>
        <w:rPr>
          <w:rFonts w:hint="eastAsia" w:ascii="宋体" w:hAnsi="宋体"/>
        </w:rPr>
        <w:t>患儿</w:t>
      </w:r>
      <w:r>
        <w:rPr>
          <w:rFonts w:ascii="宋体" w:hAnsi="宋体"/>
        </w:rPr>
        <w:t>做深呼吸，待慢慢呼气时轻柔地一次性完成拔管动作，纱布包裹胃管置于弯盘内。昏迷</w:t>
      </w:r>
      <w:r>
        <w:rPr>
          <w:rFonts w:hint="eastAsia" w:ascii="宋体" w:hAnsi="宋体"/>
        </w:rPr>
        <w:t>患儿</w:t>
      </w:r>
      <w:r>
        <w:rPr>
          <w:rFonts w:ascii="宋体" w:hAnsi="宋体"/>
        </w:rPr>
        <w:t>拔管到咽喉处时返折胃管快速拔出，以免液体滴入气道。</w:t>
      </w:r>
    </w:p>
    <w:p w14:paraId="13584370">
      <w:pPr>
        <w:spacing w:line="276" w:lineRule="auto"/>
        <w:ind w:firstLine="420" w:firstLineChars="200"/>
        <w:rPr>
          <w:rFonts w:hint="eastAsia" w:ascii="宋体" w:hAnsi="宋体"/>
        </w:rPr>
      </w:pPr>
      <w:r>
        <w:rPr>
          <w:rFonts w:hint="eastAsia" w:ascii="宋体" w:hAnsi="宋体"/>
          <w:lang w:val="en-US" w:eastAsia="zh-CN"/>
        </w:rPr>
        <w:t xml:space="preserve">d) </w:t>
      </w:r>
      <w:r>
        <w:rPr>
          <w:rFonts w:ascii="宋体" w:hAnsi="宋体"/>
        </w:rPr>
        <w:t>清洁患</w:t>
      </w:r>
      <w:r>
        <w:rPr>
          <w:rFonts w:hint="eastAsia" w:ascii="宋体" w:hAnsi="宋体"/>
        </w:rPr>
        <w:t>儿</w:t>
      </w:r>
      <w:r>
        <w:rPr>
          <w:rFonts w:ascii="宋体" w:hAnsi="宋体"/>
        </w:rPr>
        <w:t>口鼻、面部，擦去胶布痕迹，协助患</w:t>
      </w:r>
      <w:r>
        <w:rPr>
          <w:rFonts w:hint="eastAsia" w:ascii="宋体" w:hAnsi="宋体"/>
        </w:rPr>
        <w:t>儿</w:t>
      </w:r>
      <w:r>
        <w:rPr>
          <w:rFonts w:ascii="宋体" w:hAnsi="宋体"/>
        </w:rPr>
        <w:t>漱口，取舒适卧位，整理床单，清理用物。</w:t>
      </w:r>
    </w:p>
    <w:p w14:paraId="3C1FD184">
      <w:pPr>
        <w:spacing w:line="276" w:lineRule="auto"/>
        <w:ind w:firstLine="420" w:firstLineChars="200"/>
        <w:rPr>
          <w:rFonts w:hint="eastAsia" w:ascii="宋体" w:hAnsi="宋体"/>
        </w:rPr>
      </w:pPr>
      <w:r>
        <w:rPr>
          <w:rFonts w:hint="eastAsia" w:ascii="宋体" w:hAnsi="宋体"/>
          <w:lang w:val="en-US" w:eastAsia="zh-CN"/>
        </w:rPr>
        <w:t xml:space="preserve">e) </w:t>
      </w:r>
      <w:r>
        <w:rPr>
          <w:rFonts w:ascii="宋体" w:hAnsi="宋体"/>
        </w:rPr>
        <w:t>护理记录单及时记录拔管时间和</w:t>
      </w:r>
      <w:r>
        <w:rPr>
          <w:rFonts w:hint="eastAsia" w:ascii="宋体" w:hAnsi="宋体"/>
        </w:rPr>
        <w:t>患儿</w:t>
      </w:r>
      <w:r>
        <w:rPr>
          <w:rFonts w:ascii="宋体" w:hAnsi="宋体"/>
        </w:rPr>
        <w:t>反应。</w:t>
      </w:r>
    </w:p>
    <w:p w14:paraId="2BB586C7">
      <w:pPr>
        <w:spacing w:line="276" w:lineRule="auto"/>
        <w:ind w:firstLine="420" w:firstLineChars="200"/>
        <w:rPr>
          <w:rFonts w:hint="eastAsia" w:ascii="宋体" w:hAnsi="宋体"/>
        </w:rPr>
      </w:pPr>
      <w:r>
        <w:rPr>
          <w:rFonts w:hint="eastAsia" w:ascii="宋体" w:hAnsi="宋体"/>
          <w:lang w:val="en-US" w:eastAsia="zh-CN"/>
        </w:rPr>
        <w:t xml:space="preserve">f) </w:t>
      </w:r>
      <w:r>
        <w:rPr>
          <w:rFonts w:ascii="宋体" w:hAnsi="宋体"/>
        </w:rPr>
        <w:t>为患</w:t>
      </w:r>
      <w:r>
        <w:rPr>
          <w:rFonts w:hint="eastAsia" w:ascii="宋体" w:hAnsi="宋体"/>
        </w:rPr>
        <w:t>儿</w:t>
      </w:r>
      <w:r>
        <w:rPr>
          <w:rFonts w:ascii="宋体" w:hAnsi="宋体"/>
        </w:rPr>
        <w:t>更换胃管，应于夜间末次鼻饲后拔出胃管，次日清晨鼻饲前从另一侧鼻孔</w:t>
      </w:r>
      <w:r>
        <w:rPr>
          <w:rFonts w:hint="eastAsia" w:ascii="宋体" w:hAnsi="宋体"/>
        </w:rPr>
        <w:t>插</w:t>
      </w:r>
      <w:r>
        <w:rPr>
          <w:rFonts w:ascii="宋体" w:hAnsi="宋体"/>
        </w:rPr>
        <w:t>管</w:t>
      </w:r>
      <w:r>
        <w:rPr>
          <w:rFonts w:hint="eastAsia" w:ascii="宋体" w:hAnsi="宋体"/>
        </w:rPr>
        <w:t>。</w:t>
      </w:r>
    </w:p>
    <w:p w14:paraId="6E004141">
      <w:pPr>
        <w:spacing w:line="276" w:lineRule="auto"/>
        <w:ind w:firstLine="420" w:firstLineChars="200"/>
      </w:pPr>
      <w:r>
        <w:rPr>
          <w:rFonts w:hint="eastAsia" w:ascii="宋体" w:hAnsi="宋体" w:cs="宋体"/>
          <w:lang w:val="en-US" w:eastAsia="zh-CN"/>
        </w:rPr>
        <w:t>g)</w:t>
      </w:r>
      <w:r>
        <w:rPr>
          <w:rFonts w:hint="eastAsia" w:ascii="宋体" w:hAnsi="宋体"/>
          <w:lang w:val="en-US" w:eastAsia="zh-CN"/>
        </w:rPr>
        <w:t xml:space="preserve"> </w:t>
      </w:r>
      <w:r>
        <w:rPr>
          <w:rFonts w:ascii="宋体" w:hAnsi="宋体"/>
        </w:rPr>
        <w:t>鼻饲时要保证无菌</w:t>
      </w:r>
      <w:r>
        <w:t>操作，器具要保持清洁，纱布及注射器应每日更换一次。</w:t>
      </w:r>
    </w:p>
    <w:p w14:paraId="1AD446F6">
      <w:pPr>
        <w:spacing w:line="276" w:lineRule="auto"/>
        <w:ind w:firstLine="420" w:firstLineChars="200"/>
        <w:rPr>
          <w:rFonts w:hint="eastAsia" w:ascii="宋体" w:hAnsi="宋体" w:cs="宋体"/>
        </w:rPr>
      </w:pPr>
      <w:r>
        <w:rPr>
          <w:rFonts w:hint="eastAsia" w:ascii="宋体" w:hAnsi="宋体" w:cs="宋体"/>
          <w:lang w:val="en-US" w:eastAsia="zh-CN"/>
        </w:rPr>
        <w:t xml:space="preserve">h) </w:t>
      </w:r>
      <w:r>
        <w:rPr>
          <w:rFonts w:hint="eastAsia" w:ascii="宋体" w:hAnsi="宋体" w:cs="宋体"/>
        </w:rPr>
        <w:t>每日给患儿作口腔护理，保持口腔清洁，防止口腔感染。</w:t>
      </w:r>
    </w:p>
    <w:p w14:paraId="60E88B9A">
      <w:pPr>
        <w:spacing w:line="276" w:lineRule="auto"/>
        <w:ind w:firstLine="420" w:firstLineChars="200"/>
      </w:pPr>
      <w:r>
        <w:t>留置胃管更换时间：</w:t>
      </w:r>
    </w:p>
    <w:p w14:paraId="7D11F16A">
      <w:pPr>
        <w:spacing w:line="276" w:lineRule="auto"/>
        <w:ind w:firstLine="420" w:firstLineChars="200"/>
        <w:rPr>
          <w:rFonts w:hint="eastAsia"/>
        </w:rPr>
      </w:pPr>
      <w:r>
        <w:rPr>
          <w:rFonts w:hint="eastAsia"/>
          <w:lang w:val="en-US" w:eastAsia="zh-CN"/>
        </w:rPr>
        <w:t xml:space="preserve">a) </w:t>
      </w:r>
      <w:r>
        <w:t>胃管留置时间过长或胃管本身质地可导致胃管与黏膜粘连，胃管对黏膜的压迫也可能导致黏膜缺血坏死。</w:t>
      </w:r>
      <w:r>
        <w:rPr>
          <w:rFonts w:hint="eastAsia"/>
        </w:rPr>
        <w:t>长期留置胃管的患儿，更换时间应参阅制造商的包装指南。</w:t>
      </w:r>
    </w:p>
    <w:p w14:paraId="5CB31804">
      <w:pPr>
        <w:spacing w:line="276" w:lineRule="auto"/>
        <w:ind w:firstLine="420" w:firstLineChars="200"/>
      </w:pPr>
      <w:r>
        <w:rPr>
          <w:rFonts w:hint="eastAsia"/>
          <w:lang w:val="en-US" w:eastAsia="zh-CN"/>
        </w:rPr>
        <w:t xml:space="preserve">b) </w:t>
      </w:r>
      <w:r>
        <w:rPr>
          <w:rFonts w:hint="eastAsia"/>
        </w:rPr>
        <w:t>在无制造商建议的情况下，PVC管应每4周</w:t>
      </w:r>
      <w:r>
        <w:rPr>
          <w:rFonts w:hint="eastAsia"/>
          <w:highlight w:val="none"/>
        </w:rPr>
        <w:t>更换一次，硅胶管每21 d～30 d更换一次，聚氨酯管每8周更换一次，其他胃管一般每7 d更换一次。聚氨酯</w:t>
      </w:r>
      <w:r>
        <w:rPr>
          <w:rFonts w:hint="eastAsia"/>
        </w:rPr>
        <w:t>管忌用液体石蜡等油性润滑剂，应用温开水润滑。操作后</w:t>
      </w:r>
      <w:r>
        <w:t>要加强管道护理，保持胃管通畅，降低反复插管对鼻咽黏膜的刺激，减轻患儿痛苦，减少感染机会。</w:t>
      </w:r>
    </w:p>
    <w:p w14:paraId="5DAD4AB0">
      <w:pPr>
        <w:spacing w:line="276" w:lineRule="auto"/>
        <w:ind w:firstLine="420" w:firstLineChars="200"/>
        <w:rPr>
          <w:rFonts w:hint="eastAsia" w:ascii="宋体" w:hAnsi="宋体"/>
        </w:rPr>
      </w:pPr>
      <w:r>
        <w:rPr>
          <w:rFonts w:hint="eastAsia"/>
          <w:lang w:val="en-US" w:eastAsia="zh-CN"/>
        </w:rPr>
        <w:t xml:space="preserve">c) </w:t>
      </w:r>
      <w:r>
        <w:rPr>
          <w:rFonts w:ascii="宋体" w:hAnsi="宋体"/>
        </w:rPr>
        <w:t>与清醒</w:t>
      </w:r>
      <w:r>
        <w:rPr>
          <w:rFonts w:hint="eastAsia" w:ascii="宋体" w:hAnsi="宋体"/>
        </w:rPr>
        <w:t>可交流</w:t>
      </w:r>
      <w:r>
        <w:rPr>
          <w:rFonts w:ascii="宋体" w:hAnsi="宋体"/>
        </w:rPr>
        <w:t>的患</w:t>
      </w:r>
      <w:r>
        <w:rPr>
          <w:rFonts w:hint="eastAsia" w:ascii="宋体" w:hAnsi="宋体"/>
        </w:rPr>
        <w:t>儿</w:t>
      </w:r>
      <w:r>
        <w:rPr>
          <w:rFonts w:ascii="宋体" w:hAnsi="宋体"/>
        </w:rPr>
        <w:t>多沟通，</w:t>
      </w:r>
      <w:r>
        <w:rPr>
          <w:rFonts w:hint="eastAsia" w:ascii="宋体" w:hAnsi="宋体"/>
        </w:rPr>
        <w:t>进行</w:t>
      </w:r>
      <w:r>
        <w:rPr>
          <w:rFonts w:ascii="宋体" w:hAnsi="宋体"/>
        </w:rPr>
        <w:t>健康宣教</w:t>
      </w:r>
      <w:r>
        <w:rPr>
          <w:rFonts w:hint="eastAsia" w:ascii="宋体" w:hAnsi="宋体"/>
        </w:rPr>
        <w:t>，介绍</w:t>
      </w:r>
      <w:r>
        <w:rPr>
          <w:rFonts w:ascii="宋体" w:hAnsi="宋体"/>
        </w:rPr>
        <w:t>导管护理知识，告知患</w:t>
      </w:r>
      <w:r>
        <w:rPr>
          <w:rFonts w:hint="eastAsia" w:ascii="宋体" w:hAnsi="宋体"/>
        </w:rPr>
        <w:t>儿</w:t>
      </w:r>
      <w:r>
        <w:rPr>
          <w:rFonts w:ascii="宋体" w:hAnsi="宋体"/>
        </w:rPr>
        <w:t>尽量减少用力咳嗽、咳痰，咳嗽时用手固定胃管防止胃管脱出。</w:t>
      </w:r>
    </w:p>
    <w:p w14:paraId="5C1717BB">
      <w:pPr>
        <w:tabs>
          <w:tab w:val="left" w:pos="360"/>
          <w:tab w:val="left" w:pos="540"/>
        </w:tabs>
        <w:spacing w:before="312" w:beforeLines="100" w:after="312" w:afterLines="100" w:line="276" w:lineRule="auto"/>
        <w:outlineLvl w:val="0"/>
        <w:rPr>
          <w:rFonts w:hint="eastAsia" w:ascii="黑体" w:hAnsi="黑体" w:eastAsia="黑体"/>
        </w:rPr>
      </w:pPr>
      <w:bookmarkStart w:id="210" w:name="_Toc32285"/>
      <w:bookmarkStart w:id="211" w:name="_Toc372797570"/>
      <w:bookmarkStart w:id="212" w:name="_Toc372796859"/>
      <w:r>
        <w:rPr>
          <w:rFonts w:hint="eastAsia" w:ascii="黑体" w:hAnsi="黑体" w:eastAsia="黑体"/>
        </w:rPr>
        <w:t>7</w:t>
      </w:r>
      <w:r>
        <w:rPr>
          <w:rFonts w:hint="eastAsia" w:ascii="黑体" w:hAnsi="黑体" w:eastAsia="黑体"/>
          <w:lang w:val="en-US" w:eastAsia="zh-CN"/>
        </w:rPr>
        <w:t xml:space="preserve"> </w:t>
      </w:r>
      <w:r>
        <w:rPr>
          <w:rFonts w:hint="eastAsia" w:ascii="黑体" w:hAnsi="黑体" w:eastAsia="黑体"/>
        </w:rPr>
        <w:t>中药直肠给药方法操作步骤与要求</w:t>
      </w:r>
      <w:bookmarkEnd w:id="210"/>
      <w:bookmarkEnd w:id="211"/>
      <w:bookmarkEnd w:id="212"/>
    </w:p>
    <w:p w14:paraId="7CF639F2">
      <w:pPr>
        <w:tabs>
          <w:tab w:val="left" w:pos="360"/>
          <w:tab w:val="left" w:pos="540"/>
        </w:tabs>
        <w:spacing w:before="157" w:beforeLines="50" w:after="157" w:afterLines="50" w:line="276" w:lineRule="auto"/>
        <w:outlineLvl w:val="1"/>
        <w:rPr>
          <w:rFonts w:hint="eastAsia" w:ascii="黑体" w:hAnsi="黑体" w:eastAsia="黑体"/>
        </w:rPr>
      </w:pPr>
      <w:bookmarkStart w:id="213" w:name="_Toc372797571"/>
      <w:bookmarkStart w:id="214" w:name="_Toc372796860"/>
      <w:bookmarkStart w:id="215" w:name="_Toc19296"/>
      <w:r>
        <w:rPr>
          <w:rFonts w:hint="eastAsia" w:ascii="黑体" w:hAnsi="黑体" w:eastAsia="黑体"/>
        </w:rPr>
        <w:t>7.1</w:t>
      </w:r>
      <w:r>
        <w:rPr>
          <w:rFonts w:hint="eastAsia" w:ascii="黑体" w:hAnsi="黑体" w:eastAsia="黑体"/>
          <w:lang w:val="en-US" w:eastAsia="zh-CN"/>
        </w:rPr>
        <w:t xml:space="preserve"> </w:t>
      </w:r>
      <w:r>
        <w:rPr>
          <w:rFonts w:hint="eastAsia" w:ascii="黑体" w:hAnsi="黑体" w:eastAsia="黑体"/>
        </w:rPr>
        <w:t>操作前准备</w:t>
      </w:r>
      <w:bookmarkEnd w:id="213"/>
      <w:bookmarkEnd w:id="214"/>
      <w:bookmarkEnd w:id="215"/>
    </w:p>
    <w:p w14:paraId="0D19F107">
      <w:pPr>
        <w:widowControl/>
        <w:snapToGrid w:val="0"/>
        <w:spacing w:before="157" w:beforeLines="50" w:after="157" w:afterLines="50"/>
        <w:jc w:val="left"/>
        <w:outlineLvl w:val="9"/>
        <w:rPr>
          <w:rFonts w:hint="eastAsia" w:ascii="黑体" w:hAnsi="黑体" w:eastAsia="黑体" w:cs="Arial"/>
          <w:b w:val="0"/>
          <w:spacing w:val="8"/>
          <w:kern w:val="0"/>
          <w:sz w:val="21"/>
        </w:rPr>
      </w:pPr>
      <w:bookmarkStart w:id="216" w:name="_Toc372797572"/>
      <w:bookmarkStart w:id="217" w:name="_Toc372796861"/>
      <w:r>
        <w:rPr>
          <w:rFonts w:hint="eastAsia" w:ascii="黑体" w:hAnsi="黑体" w:eastAsia="黑体" w:cs="Arial"/>
          <w:b w:val="0"/>
          <w:spacing w:val="8"/>
          <w:kern w:val="0"/>
          <w:sz w:val="21"/>
        </w:rPr>
        <w:t>7.1.1  器具及药液</w:t>
      </w:r>
      <w:bookmarkEnd w:id="216"/>
      <w:bookmarkEnd w:id="217"/>
    </w:p>
    <w:p w14:paraId="3740539D">
      <w:pPr>
        <w:spacing w:line="276" w:lineRule="auto"/>
        <w:ind w:firstLine="420" w:firstLineChars="200"/>
      </w:pPr>
      <w:bookmarkStart w:id="218" w:name="_Toc372796862"/>
      <w:bookmarkStart w:id="219" w:name="_Toc372797573"/>
      <w:r>
        <w:rPr>
          <w:rFonts w:hint="eastAsia" w:ascii="宋体" w:hAnsi="宋体"/>
          <w:lang w:val="en-US" w:eastAsia="zh-CN"/>
        </w:rPr>
        <w:t xml:space="preserve">a) </w:t>
      </w:r>
      <w:r>
        <w:rPr>
          <w:rFonts w:ascii="宋体" w:hAnsi="宋体"/>
        </w:rPr>
        <w:t>治疗</w:t>
      </w:r>
      <w:r>
        <w:t>盘内放入肛管、镊子、无菌手套、50mL注射器、纱布、治疗巾、橡胶单、液体石蜡、棉签、胶布、卫生纸、温水、待灌药液及贮药器皿等。</w:t>
      </w:r>
      <w:bookmarkEnd w:id="218"/>
      <w:bookmarkEnd w:id="219"/>
    </w:p>
    <w:p w14:paraId="39D47F1C">
      <w:pPr>
        <w:spacing w:line="276" w:lineRule="auto"/>
        <w:ind w:firstLine="420" w:firstLineChars="200"/>
      </w:pPr>
      <w:bookmarkStart w:id="220" w:name="_Toc372797574"/>
      <w:bookmarkStart w:id="221" w:name="_Toc372796863"/>
      <w:r>
        <w:rPr>
          <w:rFonts w:hint="eastAsia"/>
          <w:lang w:val="en-US" w:eastAsia="zh-CN"/>
        </w:rPr>
        <w:t xml:space="preserve">b) </w:t>
      </w:r>
      <w:r>
        <w:t>所用肛管及与之直接接触的器具在使用前均作消毒处理。</w:t>
      </w:r>
      <w:bookmarkEnd w:id="220"/>
      <w:bookmarkEnd w:id="221"/>
    </w:p>
    <w:p w14:paraId="281D1D2E">
      <w:pPr>
        <w:spacing w:line="276" w:lineRule="auto"/>
        <w:ind w:firstLine="420" w:firstLineChars="200"/>
      </w:pPr>
      <w:bookmarkStart w:id="222" w:name="_Toc372797575"/>
      <w:bookmarkStart w:id="223" w:name="_Toc372796864"/>
      <w:r>
        <w:rPr>
          <w:rFonts w:hint="eastAsia"/>
          <w:lang w:val="en-US" w:eastAsia="zh-CN"/>
        </w:rPr>
        <w:t xml:space="preserve">c) </w:t>
      </w:r>
      <w:r>
        <w:t>待灌药液若用于灌肠者置于治疗碗内；用于滴肠者置于一次性输液器内，插入不带金属穿刺针的输液管。</w:t>
      </w:r>
      <w:bookmarkEnd w:id="222"/>
      <w:bookmarkEnd w:id="223"/>
    </w:p>
    <w:p w14:paraId="7FF5368A">
      <w:pPr>
        <w:spacing w:line="276" w:lineRule="auto"/>
        <w:ind w:firstLine="420" w:firstLineChars="200"/>
        <w:rPr>
          <w:rFonts w:hint="eastAsia" w:ascii="宋体" w:hAnsi="宋体"/>
        </w:rPr>
      </w:pPr>
      <w:bookmarkStart w:id="224" w:name="_Toc372797576"/>
      <w:bookmarkStart w:id="225" w:name="_Toc372796865"/>
      <w:r>
        <w:rPr>
          <w:rFonts w:hint="eastAsia"/>
          <w:lang w:val="en-US" w:eastAsia="zh-CN"/>
        </w:rPr>
        <w:t xml:space="preserve">d) </w:t>
      </w:r>
      <w:r>
        <w:t>待灌药液温度以39℃～41℃为宜</w:t>
      </w:r>
      <w:r>
        <w:rPr>
          <w:rFonts w:ascii="宋体" w:hAnsi="宋体"/>
        </w:rPr>
        <w:t>。</w:t>
      </w:r>
      <w:bookmarkEnd w:id="224"/>
      <w:bookmarkEnd w:id="225"/>
    </w:p>
    <w:p w14:paraId="7D3A3B40">
      <w:pPr>
        <w:widowControl/>
        <w:snapToGrid w:val="0"/>
        <w:spacing w:before="157" w:beforeLines="50" w:after="157" w:afterLines="50"/>
        <w:jc w:val="left"/>
        <w:outlineLvl w:val="9"/>
        <w:rPr>
          <w:rFonts w:hint="eastAsia" w:ascii="黑体" w:hAnsi="黑体" w:eastAsia="黑体" w:cs="Arial"/>
          <w:b w:val="0"/>
          <w:spacing w:val="8"/>
          <w:kern w:val="0"/>
          <w:sz w:val="21"/>
        </w:rPr>
      </w:pPr>
      <w:bookmarkStart w:id="226" w:name="_Toc372796866"/>
      <w:bookmarkStart w:id="227" w:name="_Toc372797577"/>
      <w:r>
        <w:rPr>
          <w:rFonts w:hint="eastAsia" w:ascii="黑体" w:hAnsi="黑体" w:eastAsia="黑体" w:cs="Arial"/>
          <w:b w:val="0"/>
          <w:spacing w:val="8"/>
          <w:kern w:val="0"/>
          <w:sz w:val="21"/>
        </w:rPr>
        <w:t>7.1.2</w:t>
      </w:r>
      <w:r>
        <w:rPr>
          <w:rFonts w:hint="eastAsia" w:ascii="黑体" w:hAnsi="黑体" w:eastAsia="黑体" w:cs="Arial"/>
          <w:b w:val="0"/>
          <w:spacing w:val="8"/>
          <w:kern w:val="0"/>
          <w:sz w:val="21"/>
          <w:lang w:val="en-US" w:eastAsia="zh-CN"/>
        </w:rPr>
        <w:t xml:space="preserve"> </w:t>
      </w:r>
      <w:r>
        <w:rPr>
          <w:rFonts w:hint="eastAsia" w:ascii="黑体" w:hAnsi="黑体" w:eastAsia="黑体" w:cs="Arial"/>
          <w:b w:val="0"/>
          <w:spacing w:val="8"/>
          <w:kern w:val="0"/>
          <w:sz w:val="21"/>
        </w:rPr>
        <w:t>环境</w:t>
      </w:r>
      <w:bookmarkEnd w:id="226"/>
      <w:bookmarkEnd w:id="227"/>
    </w:p>
    <w:p w14:paraId="3DFFEE7A">
      <w:pPr>
        <w:spacing w:line="276" w:lineRule="auto"/>
        <w:ind w:firstLine="420" w:firstLineChars="200"/>
        <w:rPr>
          <w:rFonts w:hint="eastAsia" w:ascii="宋体" w:hAnsi="宋体"/>
        </w:rPr>
      </w:pPr>
      <w:bookmarkStart w:id="228" w:name="_Toc372797578"/>
      <w:bookmarkStart w:id="229" w:name="_Toc372796867"/>
      <w:r>
        <w:rPr>
          <w:rFonts w:ascii="宋体" w:hAnsi="宋体"/>
        </w:rPr>
        <w:t>关闭门窗，</w:t>
      </w:r>
      <w:r>
        <w:rPr>
          <w:rFonts w:hint="eastAsia" w:ascii="宋体" w:hAnsi="宋体"/>
        </w:rPr>
        <w:t>室内清洁卫生，温度适宜，光线明亮，保持安静</w:t>
      </w:r>
      <w:r>
        <w:rPr>
          <w:rFonts w:ascii="宋体" w:hAnsi="宋体"/>
        </w:rPr>
        <w:t>。</w:t>
      </w:r>
      <w:bookmarkEnd w:id="228"/>
      <w:bookmarkEnd w:id="229"/>
    </w:p>
    <w:p w14:paraId="1E6C8B46">
      <w:pPr>
        <w:widowControl/>
        <w:snapToGrid w:val="0"/>
        <w:spacing w:before="157" w:beforeLines="50" w:after="157" w:afterLines="50"/>
        <w:jc w:val="left"/>
        <w:outlineLvl w:val="9"/>
        <w:rPr>
          <w:rFonts w:hint="eastAsia" w:ascii="黑体" w:hAnsi="黑体" w:eastAsia="黑体" w:cs="Arial"/>
          <w:b w:val="0"/>
          <w:spacing w:val="8"/>
          <w:kern w:val="0"/>
          <w:sz w:val="21"/>
        </w:rPr>
      </w:pPr>
      <w:bookmarkStart w:id="230" w:name="_Toc372796868"/>
      <w:bookmarkStart w:id="231" w:name="_Toc372797579"/>
      <w:r>
        <w:rPr>
          <w:rFonts w:hint="eastAsia" w:ascii="黑体" w:hAnsi="黑体" w:eastAsia="黑体" w:cs="Arial"/>
          <w:b w:val="0"/>
          <w:spacing w:val="8"/>
          <w:kern w:val="0"/>
          <w:sz w:val="21"/>
        </w:rPr>
        <w:t>7.1.3  患儿体位</w:t>
      </w:r>
      <w:bookmarkEnd w:id="230"/>
      <w:bookmarkEnd w:id="231"/>
    </w:p>
    <w:p w14:paraId="4527C4CF">
      <w:pPr>
        <w:spacing w:line="276" w:lineRule="auto"/>
        <w:ind w:firstLine="420" w:firstLineChars="200"/>
      </w:pPr>
      <w:bookmarkStart w:id="232" w:name="_Toc372797580"/>
      <w:bookmarkStart w:id="233" w:name="_Toc372796869"/>
      <w:r>
        <w:rPr>
          <w:rFonts w:hint="eastAsia" w:ascii="宋体" w:hAnsi="宋体"/>
        </w:rPr>
        <w:t>患儿脱下裤子，取左侧卧位，</w:t>
      </w:r>
      <w:r>
        <w:rPr>
          <w:rFonts w:ascii="宋体" w:hAnsi="宋体"/>
        </w:rPr>
        <w:t>双膝屈</w:t>
      </w:r>
      <w:r>
        <w:t>曲，臀部抬高5cm，充分暴露。</w:t>
      </w:r>
      <w:r>
        <w:rPr>
          <w:rFonts w:hint="eastAsia"/>
        </w:rPr>
        <w:t>3岁以下患儿</w:t>
      </w:r>
      <w:r>
        <w:t>可采用俯卧位，俯卧于家长双腿上或床上。</w:t>
      </w:r>
      <w:bookmarkEnd w:id="232"/>
      <w:bookmarkEnd w:id="233"/>
    </w:p>
    <w:p w14:paraId="21B624E0">
      <w:pPr>
        <w:widowControl/>
        <w:snapToGrid w:val="0"/>
        <w:spacing w:before="157" w:beforeLines="50" w:after="157" w:afterLines="50"/>
        <w:jc w:val="left"/>
        <w:outlineLvl w:val="9"/>
        <w:rPr>
          <w:rFonts w:hint="eastAsia" w:ascii="黑体" w:hAnsi="黑体" w:eastAsia="黑体" w:cs="Arial"/>
          <w:b w:val="0"/>
          <w:spacing w:val="8"/>
          <w:kern w:val="0"/>
          <w:sz w:val="21"/>
        </w:rPr>
      </w:pPr>
      <w:bookmarkStart w:id="234" w:name="_Toc372797581"/>
      <w:bookmarkStart w:id="235" w:name="_Toc372796870"/>
      <w:r>
        <w:rPr>
          <w:rFonts w:hint="eastAsia" w:ascii="黑体" w:hAnsi="黑体" w:eastAsia="黑体" w:cs="Arial"/>
          <w:b w:val="0"/>
          <w:spacing w:val="8"/>
          <w:kern w:val="0"/>
          <w:sz w:val="21"/>
        </w:rPr>
        <w:t>7.1.4  操作前护理</w:t>
      </w:r>
      <w:bookmarkEnd w:id="234"/>
      <w:bookmarkEnd w:id="235"/>
    </w:p>
    <w:p w14:paraId="63B15986">
      <w:pPr>
        <w:spacing w:line="276" w:lineRule="auto"/>
        <w:ind w:firstLine="420" w:firstLineChars="200"/>
        <w:rPr>
          <w:rFonts w:hint="eastAsia" w:ascii="宋体" w:hAnsi="宋体"/>
        </w:rPr>
      </w:pPr>
      <w:bookmarkStart w:id="236" w:name="_Toc372796871"/>
      <w:bookmarkStart w:id="237" w:name="_Toc372797582"/>
      <w:r>
        <w:rPr>
          <w:rFonts w:hint="eastAsia" w:ascii="宋体" w:hAnsi="宋体"/>
          <w:lang w:val="en-US" w:eastAsia="zh-CN"/>
        </w:rPr>
        <w:t xml:space="preserve">a) </w:t>
      </w:r>
      <w:r>
        <w:rPr>
          <w:rFonts w:ascii="宋体" w:hAnsi="宋体"/>
        </w:rPr>
        <w:t>灌肠前，</w:t>
      </w:r>
      <w:r>
        <w:rPr>
          <w:rFonts w:hint="eastAsia" w:ascii="宋体" w:hAnsi="宋体"/>
        </w:rPr>
        <w:t>要求患儿</w:t>
      </w:r>
      <w:r>
        <w:rPr>
          <w:rFonts w:ascii="宋体" w:hAnsi="宋体"/>
        </w:rPr>
        <w:t>尽量排空大便</w:t>
      </w:r>
      <w:r>
        <w:rPr>
          <w:rFonts w:hint="eastAsia" w:ascii="宋体" w:hAnsi="宋体"/>
        </w:rPr>
        <w:t>、小便</w:t>
      </w:r>
      <w:r>
        <w:rPr>
          <w:rFonts w:ascii="宋体" w:hAnsi="宋体"/>
        </w:rPr>
        <w:t>，必要时先清洁肠道</w:t>
      </w:r>
      <w:r>
        <w:rPr>
          <w:rFonts w:hint="eastAsia" w:ascii="宋体" w:hAnsi="宋体"/>
        </w:rPr>
        <w:t>。保持情绪稳定</w:t>
      </w:r>
      <w:r>
        <w:rPr>
          <w:rFonts w:ascii="宋体" w:hAnsi="宋体"/>
        </w:rPr>
        <w:t>。</w:t>
      </w:r>
      <w:bookmarkEnd w:id="236"/>
      <w:bookmarkEnd w:id="237"/>
    </w:p>
    <w:p w14:paraId="25C453B5">
      <w:pPr>
        <w:spacing w:line="276" w:lineRule="auto"/>
        <w:ind w:firstLine="420" w:firstLineChars="200"/>
        <w:rPr>
          <w:rFonts w:hint="eastAsia" w:ascii="宋体" w:hAnsi="宋体"/>
        </w:rPr>
      </w:pPr>
      <w:bookmarkStart w:id="238" w:name="_Toc372796872"/>
      <w:bookmarkStart w:id="239" w:name="_Toc372797583"/>
      <w:r>
        <w:rPr>
          <w:rFonts w:hint="eastAsia" w:ascii="宋体" w:hAnsi="宋体"/>
          <w:lang w:val="en-US" w:eastAsia="zh-CN"/>
        </w:rPr>
        <w:t xml:space="preserve">b) </w:t>
      </w:r>
      <w:r>
        <w:rPr>
          <w:rFonts w:ascii="宋体" w:hAnsi="宋体"/>
        </w:rPr>
        <w:t>备齐</w:t>
      </w:r>
      <w:r>
        <w:rPr>
          <w:rFonts w:hint="eastAsia" w:ascii="宋体" w:hAnsi="宋体"/>
        </w:rPr>
        <w:t>器具</w:t>
      </w:r>
      <w:r>
        <w:rPr>
          <w:rFonts w:ascii="宋体" w:hAnsi="宋体"/>
        </w:rPr>
        <w:t>至</w:t>
      </w:r>
      <w:r>
        <w:rPr>
          <w:rFonts w:hint="eastAsia" w:ascii="宋体" w:hAnsi="宋体"/>
        </w:rPr>
        <w:t>患儿</w:t>
      </w:r>
      <w:r>
        <w:rPr>
          <w:rFonts w:ascii="宋体" w:hAnsi="宋体"/>
        </w:rPr>
        <w:t>床边。</w:t>
      </w:r>
      <w:bookmarkEnd w:id="238"/>
      <w:bookmarkEnd w:id="239"/>
    </w:p>
    <w:p w14:paraId="77CBFB0D">
      <w:pPr>
        <w:spacing w:line="276" w:lineRule="auto"/>
        <w:ind w:firstLine="420" w:firstLineChars="200"/>
        <w:rPr>
          <w:rFonts w:hint="eastAsia" w:ascii="宋体" w:hAnsi="宋体"/>
        </w:rPr>
      </w:pPr>
      <w:bookmarkStart w:id="240" w:name="_Toc372796873"/>
      <w:bookmarkStart w:id="241" w:name="_Toc372797584"/>
      <w:r>
        <w:rPr>
          <w:rFonts w:hint="eastAsia" w:ascii="宋体" w:hAnsi="宋体"/>
          <w:lang w:val="en-US" w:eastAsia="zh-CN"/>
        </w:rPr>
        <w:t xml:space="preserve">c) </w:t>
      </w:r>
      <w:r>
        <w:rPr>
          <w:rFonts w:ascii="宋体" w:hAnsi="宋体"/>
        </w:rPr>
        <w:t>对神志清醒</w:t>
      </w:r>
      <w:r>
        <w:rPr>
          <w:rFonts w:hint="eastAsia" w:ascii="宋体" w:hAnsi="宋体"/>
        </w:rPr>
        <w:t>的3岁以上患儿</w:t>
      </w:r>
      <w:r>
        <w:rPr>
          <w:rFonts w:ascii="宋体" w:hAnsi="宋体"/>
        </w:rPr>
        <w:t>做好心理护理，</w:t>
      </w:r>
      <w:r>
        <w:rPr>
          <w:rFonts w:hint="eastAsia" w:ascii="宋体" w:hAnsi="宋体"/>
        </w:rPr>
        <w:t>说明</w:t>
      </w:r>
      <w:r>
        <w:rPr>
          <w:rFonts w:ascii="宋体" w:hAnsi="宋体"/>
        </w:rPr>
        <w:t>治疗的意义和注意事项，进行精神安慰与鼓励，消除</w:t>
      </w:r>
      <w:r>
        <w:rPr>
          <w:rFonts w:hint="eastAsia" w:ascii="宋体" w:hAnsi="宋体"/>
        </w:rPr>
        <w:t>患儿</w:t>
      </w:r>
      <w:r>
        <w:rPr>
          <w:rFonts w:ascii="宋体" w:hAnsi="宋体"/>
        </w:rPr>
        <w:t>的紧张恐惧情绪，</w:t>
      </w:r>
      <w:r>
        <w:rPr>
          <w:rFonts w:hint="eastAsia" w:ascii="宋体" w:hAnsi="宋体"/>
        </w:rPr>
        <w:t>争取患儿及家长</w:t>
      </w:r>
      <w:r>
        <w:rPr>
          <w:rFonts w:ascii="宋体" w:hAnsi="宋体"/>
        </w:rPr>
        <w:t>能积极主动配合操作。</w:t>
      </w:r>
      <w:bookmarkEnd w:id="240"/>
      <w:bookmarkEnd w:id="241"/>
    </w:p>
    <w:p w14:paraId="676B19AE">
      <w:pPr>
        <w:spacing w:line="276" w:lineRule="auto"/>
        <w:ind w:firstLine="420" w:firstLineChars="200"/>
        <w:rPr>
          <w:rFonts w:hint="eastAsia" w:ascii="宋体" w:hAnsi="宋体"/>
        </w:rPr>
      </w:pPr>
      <w:bookmarkStart w:id="242" w:name="_Toc372796874"/>
      <w:bookmarkStart w:id="243" w:name="_Toc372797585"/>
      <w:r>
        <w:rPr>
          <w:rFonts w:hint="eastAsia" w:ascii="宋体" w:hAnsi="宋体"/>
          <w:lang w:val="en-US" w:eastAsia="zh-CN"/>
        </w:rPr>
        <w:t xml:space="preserve">d) </w:t>
      </w:r>
      <w:r>
        <w:rPr>
          <w:rFonts w:hint="eastAsia" w:ascii="宋体" w:hAnsi="宋体"/>
        </w:rPr>
        <w:t>对不能合作的患儿，可在操作前由家长协助，抱持患儿于合适体位。</w:t>
      </w:r>
      <w:bookmarkEnd w:id="242"/>
      <w:bookmarkEnd w:id="243"/>
    </w:p>
    <w:p w14:paraId="12C52113">
      <w:pPr>
        <w:spacing w:line="276" w:lineRule="auto"/>
        <w:ind w:firstLine="420" w:firstLineChars="200"/>
        <w:rPr>
          <w:rFonts w:hint="eastAsia" w:ascii="宋体" w:hAnsi="宋体"/>
        </w:rPr>
      </w:pPr>
      <w:bookmarkStart w:id="244" w:name="_Toc372797586"/>
      <w:bookmarkStart w:id="245" w:name="_Toc372796875"/>
      <w:r>
        <w:rPr>
          <w:rFonts w:hint="eastAsia" w:ascii="宋体" w:hAnsi="宋体"/>
          <w:lang w:val="en-US" w:eastAsia="zh-CN"/>
        </w:rPr>
        <w:t xml:space="preserve">e) </w:t>
      </w:r>
      <w:r>
        <w:rPr>
          <w:rFonts w:hint="eastAsia" w:ascii="宋体" w:hAnsi="宋体"/>
        </w:rPr>
        <w:t>操作者站立于患儿右侧，准备操作。</w:t>
      </w:r>
      <w:bookmarkEnd w:id="244"/>
      <w:bookmarkEnd w:id="245"/>
    </w:p>
    <w:p w14:paraId="2F9288DB">
      <w:pPr>
        <w:spacing w:line="276" w:lineRule="auto"/>
        <w:ind w:firstLine="420" w:firstLineChars="200"/>
        <w:rPr>
          <w:rFonts w:hint="eastAsia" w:ascii="宋体" w:hAnsi="宋体"/>
        </w:rPr>
      </w:pPr>
      <w:bookmarkStart w:id="246" w:name="_Toc372797587"/>
      <w:bookmarkStart w:id="247" w:name="_Toc372796876"/>
      <w:r>
        <w:rPr>
          <w:rFonts w:hint="eastAsia" w:ascii="宋体" w:hAnsi="宋体"/>
          <w:lang w:val="en-US" w:eastAsia="zh-CN"/>
        </w:rPr>
        <w:t xml:space="preserve">f) </w:t>
      </w:r>
      <w:r>
        <w:rPr>
          <w:rFonts w:ascii="宋体" w:hAnsi="宋体"/>
        </w:rPr>
        <w:t>垫治疗巾及橡胶单于</w:t>
      </w:r>
      <w:r>
        <w:rPr>
          <w:rFonts w:hint="eastAsia" w:ascii="宋体" w:hAnsi="宋体"/>
        </w:rPr>
        <w:t>患儿</w:t>
      </w:r>
      <w:r>
        <w:rPr>
          <w:rFonts w:ascii="宋体" w:hAnsi="宋体"/>
        </w:rPr>
        <w:t>臀下，</w:t>
      </w:r>
      <w:r>
        <w:rPr>
          <w:rFonts w:hint="eastAsia" w:ascii="宋体" w:hAnsi="宋体"/>
        </w:rPr>
        <w:t>治疗</w:t>
      </w:r>
      <w:r>
        <w:rPr>
          <w:rFonts w:ascii="宋体" w:hAnsi="宋体"/>
        </w:rPr>
        <w:t>盘放于臀边。</w:t>
      </w:r>
      <w:bookmarkEnd w:id="246"/>
      <w:bookmarkEnd w:id="247"/>
    </w:p>
    <w:p w14:paraId="239900D1">
      <w:pPr>
        <w:spacing w:line="276" w:lineRule="auto"/>
        <w:ind w:firstLine="420" w:firstLineChars="200"/>
        <w:rPr>
          <w:rFonts w:hint="eastAsia" w:ascii="宋体" w:hAnsi="宋体"/>
        </w:rPr>
      </w:pPr>
      <w:bookmarkStart w:id="248" w:name="_Toc372797588"/>
      <w:bookmarkStart w:id="249" w:name="_Toc372796877"/>
      <w:r>
        <w:rPr>
          <w:rFonts w:hint="eastAsia" w:ascii="宋体" w:hAnsi="宋体"/>
          <w:lang w:val="en-US" w:eastAsia="zh-CN"/>
        </w:rPr>
        <w:t xml:space="preserve">g) </w:t>
      </w:r>
      <w:r>
        <w:rPr>
          <w:rFonts w:hint="eastAsia" w:ascii="宋体" w:hAnsi="宋体"/>
        </w:rPr>
        <w:t>操作者</w:t>
      </w:r>
      <w:r>
        <w:rPr>
          <w:rFonts w:ascii="宋体" w:hAnsi="宋体"/>
        </w:rPr>
        <w:t>戴无菌手套</w:t>
      </w:r>
      <w:r>
        <w:rPr>
          <w:rFonts w:hint="eastAsia" w:ascii="宋体" w:hAnsi="宋体"/>
        </w:rPr>
        <w:t>。</w:t>
      </w:r>
      <w:bookmarkEnd w:id="248"/>
      <w:bookmarkEnd w:id="249"/>
    </w:p>
    <w:p w14:paraId="3FC121CD">
      <w:pPr>
        <w:spacing w:line="276" w:lineRule="auto"/>
        <w:ind w:firstLine="420" w:firstLineChars="200"/>
        <w:rPr>
          <w:rFonts w:hint="eastAsia" w:ascii="宋体" w:hAnsi="宋体"/>
        </w:rPr>
      </w:pPr>
      <w:bookmarkStart w:id="250" w:name="_Toc372797589"/>
      <w:bookmarkStart w:id="251" w:name="_Toc372796878"/>
      <w:r>
        <w:rPr>
          <w:rFonts w:hint="eastAsia" w:ascii="宋体" w:hAnsi="宋体"/>
          <w:lang w:val="en-US" w:eastAsia="zh-CN"/>
        </w:rPr>
        <w:t xml:space="preserve">h) </w:t>
      </w:r>
      <w:r>
        <w:rPr>
          <w:rFonts w:ascii="宋体" w:hAnsi="宋体"/>
        </w:rPr>
        <w:t>清洁</w:t>
      </w:r>
      <w:r>
        <w:rPr>
          <w:rFonts w:hint="eastAsia" w:ascii="宋体" w:hAnsi="宋体"/>
        </w:rPr>
        <w:t>患儿肛门口及周围皮肤。</w:t>
      </w:r>
      <w:bookmarkEnd w:id="250"/>
      <w:bookmarkEnd w:id="251"/>
    </w:p>
    <w:p w14:paraId="6F3A8113">
      <w:pPr>
        <w:tabs>
          <w:tab w:val="left" w:pos="360"/>
          <w:tab w:val="left" w:pos="540"/>
        </w:tabs>
        <w:spacing w:before="157" w:beforeLines="50" w:after="157" w:afterLines="50" w:line="276" w:lineRule="auto"/>
        <w:outlineLvl w:val="1"/>
        <w:rPr>
          <w:rFonts w:hint="eastAsia" w:ascii="黑体" w:hAnsi="黑体" w:eastAsia="黑体"/>
        </w:rPr>
      </w:pPr>
      <w:bookmarkStart w:id="252" w:name="_Toc372797590"/>
      <w:bookmarkStart w:id="253" w:name="_Toc372796879"/>
      <w:bookmarkStart w:id="254" w:name="_Toc11224"/>
      <w:r>
        <w:rPr>
          <w:rFonts w:hint="eastAsia" w:ascii="黑体" w:hAnsi="黑体" w:eastAsia="黑体"/>
        </w:rPr>
        <w:t>7.2</w:t>
      </w:r>
      <w:r>
        <w:rPr>
          <w:rFonts w:hint="eastAsia" w:ascii="黑体" w:hAnsi="黑体" w:eastAsia="黑体"/>
          <w:lang w:val="en-US" w:eastAsia="zh-CN"/>
        </w:rPr>
        <w:t xml:space="preserve"> </w:t>
      </w:r>
      <w:r>
        <w:rPr>
          <w:rFonts w:hint="eastAsia" w:ascii="黑体" w:hAnsi="黑体" w:eastAsia="黑体"/>
        </w:rPr>
        <w:t>操作方法</w:t>
      </w:r>
      <w:bookmarkEnd w:id="252"/>
      <w:bookmarkEnd w:id="253"/>
      <w:bookmarkEnd w:id="254"/>
    </w:p>
    <w:p w14:paraId="32769A4F">
      <w:pPr>
        <w:widowControl/>
        <w:snapToGrid w:val="0"/>
        <w:spacing w:before="157" w:beforeLines="50" w:after="157" w:afterLines="50"/>
        <w:jc w:val="left"/>
        <w:outlineLvl w:val="9"/>
        <w:rPr>
          <w:rFonts w:hint="eastAsia" w:ascii="黑体" w:hAnsi="黑体" w:eastAsia="黑体" w:cs="Arial"/>
          <w:b w:val="0"/>
          <w:spacing w:val="8"/>
          <w:kern w:val="0"/>
          <w:sz w:val="21"/>
        </w:rPr>
      </w:pPr>
      <w:bookmarkStart w:id="255" w:name="_Toc372796880"/>
      <w:bookmarkStart w:id="256" w:name="_Toc372797591"/>
      <w:r>
        <w:rPr>
          <w:rFonts w:hint="eastAsia" w:ascii="黑体" w:hAnsi="黑体" w:eastAsia="黑体" w:cs="Arial"/>
          <w:b w:val="0"/>
          <w:spacing w:val="8"/>
          <w:kern w:val="0"/>
          <w:sz w:val="21"/>
        </w:rPr>
        <w:t>7.2.1  中药灌肠</w:t>
      </w:r>
      <w:r>
        <w:rPr>
          <w:rFonts w:ascii="黑体" w:hAnsi="黑体" w:eastAsia="黑体" w:cs="Arial"/>
          <w:b w:val="0"/>
          <w:spacing w:val="8"/>
          <w:kern w:val="0"/>
          <w:sz w:val="21"/>
        </w:rPr>
        <w:t>法</w:t>
      </w:r>
      <w:bookmarkEnd w:id="255"/>
      <w:bookmarkEnd w:id="256"/>
    </w:p>
    <w:p w14:paraId="0B0A8B77">
      <w:pPr>
        <w:spacing w:line="276" w:lineRule="auto"/>
        <w:ind w:firstLine="420" w:firstLineChars="200"/>
      </w:pPr>
      <w:bookmarkStart w:id="257" w:name="_Toc372796881"/>
      <w:bookmarkStart w:id="258" w:name="_Toc372797592"/>
      <w:r>
        <w:rPr>
          <w:rFonts w:hint="eastAsia" w:ascii="宋体" w:hAnsi="宋体"/>
          <w:lang w:val="en-US" w:eastAsia="zh-CN"/>
        </w:rPr>
        <w:t xml:space="preserve">a) </w:t>
      </w:r>
      <w:r>
        <w:rPr>
          <w:rFonts w:hint="eastAsia" w:ascii="宋体" w:hAnsi="宋体"/>
        </w:rPr>
        <w:t>操作者</w:t>
      </w:r>
      <w:r>
        <w:t>选择合适型号的肛管，涂上液体石蜡，轻轻通过肛门插入患儿肠道，插入深度视年龄约10cm～15cm。</w:t>
      </w:r>
      <w:bookmarkEnd w:id="257"/>
      <w:bookmarkEnd w:id="258"/>
    </w:p>
    <w:p w14:paraId="2E9501A3">
      <w:pPr>
        <w:spacing w:line="276" w:lineRule="auto"/>
        <w:ind w:firstLine="420" w:firstLineChars="200"/>
      </w:pPr>
      <w:bookmarkStart w:id="259" w:name="_Toc372797593"/>
      <w:bookmarkStart w:id="260" w:name="_Toc372796882"/>
      <w:r>
        <w:rPr>
          <w:rFonts w:hint="eastAsia"/>
          <w:lang w:val="en-US" w:eastAsia="zh-CN"/>
        </w:rPr>
        <w:t xml:space="preserve">b) </w:t>
      </w:r>
      <w:r>
        <w:t>使用50mL针筒抽吸中药液，接上肛管，以每分钟10mL</w:t>
      </w:r>
      <w:r>
        <w:rPr>
          <w:rFonts w:hint="eastAsia"/>
        </w:rPr>
        <w:t>的</w:t>
      </w:r>
      <w:r>
        <w:t>速度缓缓注入。</w:t>
      </w:r>
      <w:bookmarkEnd w:id="259"/>
      <w:bookmarkEnd w:id="260"/>
    </w:p>
    <w:p w14:paraId="256CA6E7">
      <w:pPr>
        <w:spacing w:line="276" w:lineRule="auto"/>
        <w:ind w:firstLine="420" w:firstLineChars="200"/>
      </w:pPr>
      <w:bookmarkStart w:id="261" w:name="_Toc372797594"/>
      <w:bookmarkStart w:id="262" w:name="_Toc372796883"/>
      <w:r>
        <w:rPr>
          <w:rFonts w:hint="eastAsia"/>
          <w:lang w:val="en-US" w:eastAsia="zh-CN"/>
        </w:rPr>
        <w:t xml:space="preserve">c) </w:t>
      </w:r>
      <w:r>
        <w:t>药液注毕，再注入温开水5mL～10mL，抬高肛管尾端，用卫生纸包住肛管拔出，放弯盘内，擦净肛门。</w:t>
      </w:r>
      <w:bookmarkEnd w:id="261"/>
      <w:bookmarkEnd w:id="262"/>
    </w:p>
    <w:p w14:paraId="544BB9D8">
      <w:pPr>
        <w:spacing w:line="276" w:lineRule="auto"/>
        <w:ind w:firstLine="420" w:firstLineChars="200"/>
        <w:rPr>
          <w:rFonts w:hint="eastAsia" w:ascii="宋体" w:hAnsi="宋体"/>
        </w:rPr>
      </w:pPr>
      <w:bookmarkStart w:id="263" w:name="_Toc372797595"/>
      <w:bookmarkStart w:id="264" w:name="_Toc372796884"/>
      <w:r>
        <w:rPr>
          <w:rFonts w:hint="eastAsia"/>
          <w:lang w:val="en-US" w:eastAsia="zh-CN"/>
        </w:rPr>
        <w:t xml:space="preserve">d) </w:t>
      </w:r>
      <w:r>
        <w:t>灌注完毕，抬高臀部，静卧30</w:t>
      </w:r>
      <w:r>
        <w:rPr>
          <w:rFonts w:hint="eastAsia"/>
        </w:rPr>
        <w:t>min</w:t>
      </w:r>
      <w:r>
        <w:t>。如在30</w:t>
      </w:r>
      <w:r>
        <w:rPr>
          <w:rFonts w:hint="eastAsia"/>
        </w:rPr>
        <w:t>min</w:t>
      </w:r>
      <w:r>
        <w:t>内</w:t>
      </w:r>
      <w:r>
        <w:rPr>
          <w:rFonts w:hint="eastAsia" w:ascii="宋体" w:hAnsi="宋体"/>
        </w:rPr>
        <w:t>大便伴药液排出，可视为无效，需重复灌肠治疗。</w:t>
      </w:r>
      <w:bookmarkEnd w:id="263"/>
      <w:bookmarkEnd w:id="264"/>
    </w:p>
    <w:p w14:paraId="782569B5">
      <w:pPr>
        <w:widowControl/>
        <w:snapToGrid/>
        <w:spacing w:before="157" w:beforeLines="50" w:after="157" w:afterLines="50" w:line="240" w:lineRule="auto"/>
        <w:jc w:val="left"/>
        <w:outlineLvl w:val="9"/>
        <w:rPr>
          <w:rFonts w:hint="eastAsia" w:ascii="黑体" w:hAnsi="黑体" w:eastAsia="黑体" w:cs="Arial"/>
          <w:spacing w:val="8"/>
          <w:kern w:val="0"/>
        </w:rPr>
      </w:pPr>
      <w:bookmarkStart w:id="265" w:name="_Toc372797596"/>
      <w:r>
        <w:rPr>
          <w:rFonts w:hint="eastAsia" w:ascii="黑体" w:hAnsi="黑体" w:eastAsia="黑体" w:cs="Arial"/>
          <w:spacing w:val="8"/>
          <w:kern w:val="0"/>
        </w:rPr>
        <w:t>7.2.2  中药滴肠法</w:t>
      </w:r>
      <w:bookmarkEnd w:id="265"/>
    </w:p>
    <w:p w14:paraId="4E554794">
      <w:pPr>
        <w:spacing w:line="276" w:lineRule="auto"/>
        <w:ind w:firstLine="420" w:firstLineChars="200"/>
        <w:rPr>
          <w:rFonts w:hint="eastAsia" w:ascii="宋体" w:hAnsi="宋体"/>
        </w:rPr>
      </w:pPr>
      <w:bookmarkStart w:id="266" w:name="_Toc372797597"/>
      <w:bookmarkStart w:id="267" w:name="_Toc372796885"/>
      <w:r>
        <w:rPr>
          <w:rFonts w:hint="eastAsia" w:ascii="宋体" w:hAnsi="宋体"/>
          <w:lang w:val="en-US" w:eastAsia="zh-CN"/>
        </w:rPr>
        <w:t xml:space="preserve">a) </w:t>
      </w:r>
      <w:r>
        <w:rPr>
          <w:rFonts w:hint="eastAsia" w:ascii="宋体" w:hAnsi="宋体"/>
        </w:rPr>
        <w:t>将装入中药液的输液瓶悬挂在输液架上。</w:t>
      </w:r>
      <w:bookmarkEnd w:id="266"/>
      <w:bookmarkEnd w:id="267"/>
    </w:p>
    <w:p w14:paraId="38A7D84D">
      <w:pPr>
        <w:spacing w:line="276" w:lineRule="auto"/>
        <w:ind w:firstLine="420" w:firstLineChars="200"/>
      </w:pPr>
      <w:bookmarkStart w:id="268" w:name="_Toc372797598"/>
      <w:bookmarkStart w:id="269" w:name="_Toc372796886"/>
      <w:r>
        <w:rPr>
          <w:rFonts w:hint="eastAsia" w:ascii="宋体" w:hAnsi="宋体"/>
          <w:lang w:val="en-US" w:eastAsia="zh-CN"/>
        </w:rPr>
        <w:t xml:space="preserve">b) </w:t>
      </w:r>
      <w:r>
        <w:rPr>
          <w:rFonts w:hint="eastAsia" w:ascii="宋体" w:hAnsi="宋体"/>
        </w:rPr>
        <w:t>将输液管前端润滑后，</w:t>
      </w:r>
      <w:r>
        <w:rPr>
          <w:rFonts w:ascii="宋体" w:hAnsi="宋体"/>
        </w:rPr>
        <w:t>轻轻</w:t>
      </w:r>
      <w:r>
        <w:rPr>
          <w:rFonts w:hint="eastAsia" w:ascii="宋体" w:hAnsi="宋体"/>
        </w:rPr>
        <w:t>通过</w:t>
      </w:r>
      <w:r>
        <w:t>肛门插入肠道，插入深度视年龄约10cm～15cm。</w:t>
      </w:r>
      <w:bookmarkEnd w:id="268"/>
      <w:bookmarkEnd w:id="269"/>
    </w:p>
    <w:p w14:paraId="1A21CC28">
      <w:pPr>
        <w:spacing w:line="276" w:lineRule="auto"/>
        <w:ind w:firstLine="420" w:firstLineChars="200"/>
      </w:pPr>
      <w:bookmarkStart w:id="270" w:name="_Toc372797599"/>
      <w:bookmarkStart w:id="271" w:name="_Toc372796887"/>
      <w:r>
        <w:rPr>
          <w:rFonts w:hint="eastAsia"/>
          <w:lang w:val="en-US" w:eastAsia="zh-CN"/>
        </w:rPr>
        <w:t xml:space="preserve">c) </w:t>
      </w:r>
      <w:r>
        <w:t>拧开输液管上的开关，使药液沿输液管滴入患儿肠道。调节点滴速度，掌握在每分钟30～40滴。</w:t>
      </w:r>
      <w:bookmarkEnd w:id="270"/>
      <w:bookmarkEnd w:id="271"/>
    </w:p>
    <w:p w14:paraId="1DA1C744">
      <w:pPr>
        <w:spacing w:line="276" w:lineRule="auto"/>
        <w:ind w:firstLine="420" w:firstLineChars="200"/>
      </w:pPr>
      <w:bookmarkStart w:id="272" w:name="_Toc372796888"/>
      <w:bookmarkStart w:id="273" w:name="_Toc372797600"/>
      <w:r>
        <w:rPr>
          <w:rFonts w:hint="eastAsia"/>
          <w:lang w:val="en-US" w:eastAsia="zh-CN"/>
        </w:rPr>
        <w:t xml:space="preserve">d) </w:t>
      </w:r>
      <w:r>
        <w:t>如患儿有便意，可暂停滴注，休息片刻，嘱</w:t>
      </w:r>
      <w:r>
        <w:rPr>
          <w:rFonts w:hint="eastAsia"/>
        </w:rPr>
        <w:t>做</w:t>
      </w:r>
      <w:r>
        <w:t>深呼吸，防止药物外溢。</w:t>
      </w:r>
      <w:bookmarkEnd w:id="272"/>
      <w:bookmarkEnd w:id="273"/>
    </w:p>
    <w:p w14:paraId="62664009">
      <w:pPr>
        <w:spacing w:line="276" w:lineRule="auto"/>
        <w:ind w:firstLine="420" w:firstLineChars="200"/>
        <w:rPr>
          <w:rFonts w:hint="eastAsia" w:ascii="宋体" w:hAnsi="宋体"/>
        </w:rPr>
      </w:pPr>
      <w:bookmarkStart w:id="274" w:name="_Toc372797601"/>
      <w:bookmarkStart w:id="275" w:name="_Toc372796889"/>
      <w:r>
        <w:rPr>
          <w:rFonts w:hint="eastAsia"/>
          <w:lang w:val="en-US" w:eastAsia="zh-CN"/>
        </w:rPr>
        <w:t xml:space="preserve">e) </w:t>
      </w:r>
      <w:r>
        <w:t>滴注完毕，拔出输液管。抬高臀部，静卧30</w:t>
      </w:r>
      <w:r>
        <w:rPr>
          <w:rFonts w:hint="eastAsia"/>
        </w:rPr>
        <w:t>min</w:t>
      </w:r>
      <w:r>
        <w:t>。如在30</w:t>
      </w:r>
      <w:r>
        <w:rPr>
          <w:rFonts w:hint="eastAsia"/>
        </w:rPr>
        <w:t>min</w:t>
      </w:r>
      <w:r>
        <w:rPr>
          <w:rFonts w:hint="eastAsia" w:ascii="宋体" w:hAnsi="宋体"/>
        </w:rPr>
        <w:t>内大便伴药液排出，可视为无效，需重复滴肠治疗。</w:t>
      </w:r>
      <w:bookmarkEnd w:id="274"/>
      <w:bookmarkEnd w:id="275"/>
    </w:p>
    <w:p w14:paraId="07B38C4A">
      <w:pPr>
        <w:widowControl/>
        <w:snapToGrid/>
        <w:spacing w:before="157" w:beforeLines="50" w:after="157" w:afterLines="50" w:line="240" w:lineRule="auto"/>
        <w:jc w:val="left"/>
        <w:outlineLvl w:val="9"/>
        <w:rPr>
          <w:rFonts w:hint="eastAsia" w:ascii="黑体" w:hAnsi="黑体" w:eastAsia="黑体" w:cs="Arial"/>
          <w:spacing w:val="8"/>
          <w:kern w:val="0"/>
        </w:rPr>
      </w:pPr>
      <w:bookmarkStart w:id="276" w:name="_Toc372797602"/>
      <w:r>
        <w:rPr>
          <w:rFonts w:hint="eastAsia" w:ascii="黑体" w:hAnsi="黑体" w:eastAsia="黑体" w:cs="Arial"/>
          <w:spacing w:val="8"/>
          <w:kern w:val="0"/>
        </w:rPr>
        <w:t>7.2.3  操作后护理</w:t>
      </w:r>
      <w:bookmarkEnd w:id="276"/>
    </w:p>
    <w:p w14:paraId="0E199F65">
      <w:pPr>
        <w:spacing w:line="276" w:lineRule="auto"/>
        <w:ind w:firstLine="420" w:firstLineChars="200"/>
        <w:rPr>
          <w:rFonts w:hint="eastAsia" w:ascii="宋体" w:hAnsi="宋体"/>
        </w:rPr>
      </w:pPr>
      <w:bookmarkStart w:id="277" w:name="_Toc372796890"/>
      <w:bookmarkStart w:id="278" w:name="_Toc372797603"/>
      <w:r>
        <w:rPr>
          <w:rFonts w:hint="eastAsia" w:ascii="宋体" w:hAnsi="宋体"/>
          <w:lang w:val="en-US" w:eastAsia="zh-CN"/>
        </w:rPr>
        <w:t xml:space="preserve">a) </w:t>
      </w:r>
      <w:r>
        <w:rPr>
          <w:rFonts w:ascii="宋体" w:hAnsi="宋体"/>
        </w:rPr>
        <w:t>整理床单，清理用物</w:t>
      </w:r>
      <w:r>
        <w:rPr>
          <w:rFonts w:hint="eastAsia" w:ascii="宋体" w:hAnsi="宋体"/>
        </w:rPr>
        <w:t>。</w:t>
      </w:r>
      <w:bookmarkEnd w:id="277"/>
      <w:bookmarkEnd w:id="278"/>
    </w:p>
    <w:p w14:paraId="08049520">
      <w:pPr>
        <w:spacing w:line="276" w:lineRule="auto"/>
        <w:ind w:firstLine="420" w:firstLineChars="200"/>
        <w:rPr>
          <w:rFonts w:hint="eastAsia" w:ascii="宋体" w:hAnsi="宋体"/>
        </w:rPr>
      </w:pPr>
      <w:bookmarkStart w:id="279" w:name="_Toc372797604"/>
      <w:bookmarkStart w:id="280" w:name="_Toc372796891"/>
      <w:r>
        <w:rPr>
          <w:rFonts w:hint="eastAsia" w:ascii="宋体" w:hAnsi="宋体"/>
          <w:lang w:val="en-US" w:eastAsia="zh-CN"/>
        </w:rPr>
        <w:t xml:space="preserve">b) </w:t>
      </w:r>
      <w:r>
        <w:rPr>
          <w:rFonts w:ascii="宋体" w:hAnsi="宋体"/>
        </w:rPr>
        <w:t>观察</w:t>
      </w:r>
      <w:r>
        <w:rPr>
          <w:rFonts w:hint="eastAsia" w:ascii="宋体" w:hAnsi="宋体"/>
        </w:rPr>
        <w:t>患儿</w:t>
      </w:r>
      <w:r>
        <w:rPr>
          <w:rFonts w:ascii="宋体" w:hAnsi="宋体"/>
        </w:rPr>
        <w:t>反应和疗效</w:t>
      </w:r>
      <w:r>
        <w:rPr>
          <w:rFonts w:hint="eastAsia" w:ascii="宋体" w:hAnsi="宋体"/>
        </w:rPr>
        <w:t>。</w:t>
      </w:r>
      <w:bookmarkEnd w:id="279"/>
      <w:bookmarkEnd w:id="280"/>
    </w:p>
    <w:p w14:paraId="32D99F47">
      <w:pPr>
        <w:spacing w:line="276" w:lineRule="auto"/>
        <w:ind w:firstLine="420" w:firstLineChars="200"/>
        <w:rPr>
          <w:rFonts w:hint="eastAsia" w:ascii="宋体" w:hAnsi="宋体"/>
        </w:rPr>
      </w:pPr>
      <w:bookmarkStart w:id="281" w:name="_Toc372797605"/>
      <w:bookmarkStart w:id="282" w:name="_Toc372796892"/>
      <w:r>
        <w:rPr>
          <w:rFonts w:hint="eastAsia" w:ascii="宋体" w:hAnsi="宋体"/>
          <w:lang w:val="en-US" w:eastAsia="zh-CN"/>
        </w:rPr>
        <w:t xml:space="preserve">c) </w:t>
      </w:r>
      <w:r>
        <w:rPr>
          <w:rFonts w:ascii="宋体" w:hAnsi="宋体"/>
        </w:rPr>
        <w:t>做好记录</w:t>
      </w:r>
      <w:r>
        <w:rPr>
          <w:rFonts w:hint="eastAsia" w:ascii="宋体" w:hAnsi="宋体"/>
        </w:rPr>
        <w:t>。</w:t>
      </w:r>
      <w:bookmarkEnd w:id="281"/>
      <w:bookmarkEnd w:id="282"/>
    </w:p>
    <w:p w14:paraId="61C0388A">
      <w:pPr>
        <w:tabs>
          <w:tab w:val="left" w:pos="360"/>
          <w:tab w:val="left" w:pos="540"/>
        </w:tabs>
        <w:spacing w:before="312" w:beforeLines="100" w:after="312" w:afterLines="100" w:line="276" w:lineRule="auto"/>
        <w:outlineLvl w:val="0"/>
        <w:rPr>
          <w:rFonts w:hint="eastAsia" w:ascii="黑体" w:hAnsi="黑体" w:eastAsia="黑体"/>
        </w:rPr>
      </w:pPr>
      <w:bookmarkStart w:id="283" w:name="_Toc23451"/>
      <w:r>
        <w:rPr>
          <w:rFonts w:hint="eastAsia" w:ascii="黑体" w:hAnsi="黑体" w:eastAsia="黑体"/>
        </w:rPr>
        <w:t>8</w:t>
      </w:r>
      <w:r>
        <w:rPr>
          <w:rFonts w:hint="eastAsia" w:ascii="黑体" w:hAnsi="黑体" w:eastAsia="黑体"/>
          <w:lang w:val="en-US" w:eastAsia="zh-CN"/>
        </w:rPr>
        <w:t xml:space="preserve"> </w:t>
      </w:r>
      <w:r>
        <w:rPr>
          <w:rFonts w:hint="eastAsia" w:ascii="黑体" w:hAnsi="黑体" w:eastAsia="黑体"/>
        </w:rPr>
        <w:t>注意事项和禁忌</w:t>
      </w:r>
      <w:bookmarkEnd w:id="283"/>
    </w:p>
    <w:p w14:paraId="2645E67E">
      <w:pPr>
        <w:spacing w:line="276" w:lineRule="auto"/>
        <w:ind w:firstLine="420" w:firstLineChars="200"/>
        <w:rPr>
          <w:rFonts w:ascii="Cambria" w:hAnsi="Cambria"/>
        </w:rPr>
      </w:pPr>
      <w:r>
        <w:rPr>
          <w:rFonts w:hint="eastAsia" w:ascii="宋体" w:hAnsi="宋体"/>
        </w:rPr>
        <w:t>具体操作的注意事项和禁忌见附录A和附录B。</w:t>
      </w:r>
    </w:p>
    <w:p w14:paraId="62A839E0">
      <w:pPr>
        <w:spacing w:line="276" w:lineRule="auto"/>
        <w:jc w:val="center"/>
        <w:outlineLvl w:val="0"/>
        <w:rPr>
          <w:rFonts w:hint="eastAsia" w:ascii="黑体" w:hAnsi="黑体" w:eastAsia="黑体" w:cs="黑体"/>
        </w:rPr>
      </w:pPr>
      <w:r>
        <w:rPr>
          <w:rFonts w:ascii="Cambria" w:hAnsi="Cambria" w:eastAsia="黑体" w:cs="黑体"/>
          <w:sz w:val="18"/>
          <w:szCs w:val="18"/>
        </w:rPr>
        <w:br w:type="page"/>
      </w:r>
      <w:bookmarkStart w:id="284" w:name="_Toc396730199"/>
      <w:bookmarkStart w:id="285" w:name="_Toc6913"/>
      <w:r>
        <w:rPr>
          <w:rFonts w:ascii="黑体" w:hAnsi="黑体" w:eastAsia="黑体" w:cs="黑体"/>
        </w:rPr>
        <w:t>附录A</w:t>
      </w:r>
      <w:bookmarkEnd w:id="284"/>
      <w:bookmarkEnd w:id="285"/>
    </w:p>
    <w:p w14:paraId="6AC138DD">
      <w:pPr>
        <w:spacing w:line="276" w:lineRule="auto"/>
        <w:jc w:val="center"/>
        <w:outlineLvl w:val="0"/>
        <w:rPr>
          <w:rFonts w:ascii="Cambria" w:hAnsi="Cambria" w:eastAsia="黑体" w:cs="黑体"/>
        </w:rPr>
      </w:pPr>
      <w:bookmarkStart w:id="286" w:name="_Toc27185"/>
      <w:r>
        <w:rPr>
          <w:rFonts w:ascii="Cambria" w:hAnsi="Cambria" w:eastAsia="黑体" w:cs="黑体"/>
        </w:rPr>
        <w:t>（资料性）</w:t>
      </w:r>
      <w:bookmarkEnd w:id="286"/>
    </w:p>
    <w:p w14:paraId="11AF651B">
      <w:pPr>
        <w:spacing w:line="276" w:lineRule="auto"/>
        <w:jc w:val="center"/>
        <w:outlineLvl w:val="0"/>
        <w:rPr>
          <w:rFonts w:ascii="Cambria" w:hAnsi="Cambria"/>
        </w:rPr>
      </w:pPr>
      <w:bookmarkStart w:id="287" w:name="_Toc10285"/>
      <w:r>
        <w:rPr>
          <w:rFonts w:hint="eastAsia" w:ascii="Cambria" w:hAnsi="Cambria" w:eastAsia="黑体" w:cs="黑体"/>
        </w:rPr>
        <w:t>中医儿科内治给药注意事项</w:t>
      </w:r>
      <w:bookmarkEnd w:id="287"/>
    </w:p>
    <w:p w14:paraId="10C68917">
      <w:pPr>
        <w:pStyle w:val="12"/>
        <w:spacing w:before="312" w:beforeLines="100" w:after="312" w:afterLines="100" w:line="276" w:lineRule="auto"/>
        <w:jc w:val="both"/>
        <w:outlineLvl w:val="9"/>
        <w:rPr>
          <w:rFonts w:hint="eastAsia" w:ascii="黑体" w:hAnsi="黑体" w:eastAsia="黑体"/>
          <w:b w:val="0"/>
          <w:sz w:val="21"/>
        </w:rPr>
      </w:pPr>
      <w:bookmarkStart w:id="288" w:name="_Toc19652"/>
      <w:r>
        <w:rPr>
          <w:rFonts w:hint="eastAsia" w:ascii="黑体" w:hAnsi="黑体" w:eastAsia="黑体"/>
          <w:b w:val="0"/>
          <w:sz w:val="21"/>
        </w:rPr>
        <w:t>A.1  儿科口服汤剂注意事项</w:t>
      </w:r>
      <w:bookmarkEnd w:id="288"/>
    </w:p>
    <w:p w14:paraId="2B85E763">
      <w:pPr>
        <w:spacing w:line="276" w:lineRule="auto"/>
        <w:ind w:firstLine="420" w:firstLineChars="200"/>
        <w:rPr>
          <w:rFonts w:hint="eastAsia" w:ascii="宋体" w:hAnsi="宋体"/>
        </w:rPr>
      </w:pPr>
      <w:bookmarkStart w:id="289" w:name="_Toc372797611"/>
      <w:bookmarkStart w:id="290" w:name="_Toc372796898"/>
      <w:r>
        <w:rPr>
          <w:rFonts w:hint="eastAsia" w:ascii="宋体" w:hAnsi="宋体"/>
        </w:rPr>
        <w:t>服用汤剂时，患儿应取坐位。不可在患儿卧位时服药，否则容易呛入气道，或引起呕吐。</w:t>
      </w:r>
      <w:bookmarkEnd w:id="289"/>
      <w:bookmarkEnd w:id="290"/>
    </w:p>
    <w:p w14:paraId="4B0A8500">
      <w:pPr>
        <w:pStyle w:val="12"/>
        <w:spacing w:before="312" w:beforeLines="100" w:after="312" w:afterLines="100" w:line="276" w:lineRule="auto"/>
        <w:jc w:val="both"/>
        <w:outlineLvl w:val="9"/>
        <w:rPr>
          <w:rFonts w:hint="eastAsia" w:ascii="黑体" w:hAnsi="黑体" w:eastAsia="黑体"/>
          <w:b w:val="0"/>
          <w:sz w:val="21"/>
        </w:rPr>
      </w:pPr>
      <w:bookmarkStart w:id="291" w:name="_Toc372796899"/>
      <w:bookmarkStart w:id="292" w:name="_Toc372797612"/>
      <w:bookmarkStart w:id="293" w:name="_Toc27101"/>
      <w:r>
        <w:rPr>
          <w:rFonts w:hint="eastAsia" w:ascii="黑体" w:hAnsi="黑体" w:eastAsia="黑体"/>
          <w:b w:val="0"/>
          <w:sz w:val="21"/>
        </w:rPr>
        <w:t>A.2  儿科口服中成药注意事项</w:t>
      </w:r>
      <w:bookmarkEnd w:id="291"/>
      <w:bookmarkEnd w:id="292"/>
      <w:bookmarkEnd w:id="293"/>
    </w:p>
    <w:p w14:paraId="6D9D2824">
      <w:pPr>
        <w:pStyle w:val="12"/>
        <w:snapToGrid w:val="0"/>
        <w:spacing w:before="0" w:after="0" w:line="276" w:lineRule="auto"/>
        <w:jc w:val="left"/>
        <w:outlineLvl w:val="9"/>
        <w:rPr>
          <w:rFonts w:hint="eastAsia" w:ascii="宋体" w:hAnsi="宋体"/>
          <w:b w:val="0"/>
          <w:sz w:val="21"/>
          <w:lang w:val="en-US"/>
        </w:rPr>
      </w:pPr>
      <w:bookmarkStart w:id="294" w:name="_Toc1616"/>
      <w:bookmarkStart w:id="295" w:name="_Toc372796900"/>
      <w:bookmarkStart w:id="296" w:name="_Toc372797613"/>
      <w:r>
        <w:rPr>
          <w:rFonts w:hint="eastAsia" w:ascii="黑体" w:hAnsi="黑体" w:eastAsia="黑体"/>
          <w:b w:val="0"/>
          <w:sz w:val="21"/>
        </w:rPr>
        <w:t>A.2.1</w:t>
      </w:r>
      <w:r>
        <w:rPr>
          <w:rFonts w:hint="eastAsia" w:ascii="宋体" w:hAnsi="宋体"/>
          <w:b w:val="0"/>
          <w:sz w:val="21"/>
        </w:rPr>
        <w:t xml:space="preserve">  片</w:t>
      </w:r>
      <w:r>
        <w:rPr>
          <w:rFonts w:hint="eastAsia" w:ascii="宋体" w:hAnsi="宋体"/>
          <w:b w:val="0"/>
          <w:sz w:val="21"/>
          <w:lang w:val="en-US"/>
        </w:rPr>
        <w:t>剂、丸剂、胶囊等固体制剂体积较大者，均不能给6岁以下患儿直接服用，必须服用时要将其掰成数小块服用，或研碎后再加温开水调服。</w:t>
      </w:r>
      <w:bookmarkEnd w:id="294"/>
      <w:bookmarkEnd w:id="295"/>
      <w:bookmarkEnd w:id="296"/>
    </w:p>
    <w:p w14:paraId="4119D06F">
      <w:pPr>
        <w:pStyle w:val="12"/>
        <w:snapToGrid w:val="0"/>
        <w:spacing w:before="0" w:after="0" w:line="276" w:lineRule="auto"/>
        <w:jc w:val="left"/>
        <w:outlineLvl w:val="9"/>
        <w:rPr>
          <w:rFonts w:hint="eastAsia" w:ascii="宋体" w:hAnsi="宋体"/>
          <w:b w:val="0"/>
          <w:sz w:val="21"/>
        </w:rPr>
      </w:pPr>
      <w:bookmarkStart w:id="297" w:name="_Toc27249"/>
      <w:bookmarkStart w:id="298" w:name="_Toc372796901"/>
      <w:bookmarkStart w:id="299" w:name="_Toc372797614"/>
      <w:r>
        <w:rPr>
          <w:rFonts w:hint="eastAsia" w:ascii="黑体" w:hAnsi="黑体" w:eastAsia="黑体"/>
          <w:b w:val="0"/>
          <w:sz w:val="21"/>
        </w:rPr>
        <w:t xml:space="preserve">A.2.2 </w:t>
      </w:r>
      <w:r>
        <w:rPr>
          <w:rFonts w:hint="eastAsia" w:ascii="宋体" w:hAnsi="宋体"/>
          <w:b w:val="0"/>
          <w:sz w:val="21"/>
        </w:rPr>
        <w:t xml:space="preserve"> 服用液体制剂时</w:t>
      </w:r>
      <w:r>
        <w:rPr>
          <w:rFonts w:hint="eastAsia" w:ascii="宋体" w:hAnsi="宋体"/>
          <w:b w:val="0"/>
          <w:sz w:val="21"/>
          <w:lang w:val="en-US"/>
        </w:rPr>
        <w:t>，忌捏鼻灌服，以防呛入气道。</w:t>
      </w:r>
      <w:bookmarkEnd w:id="297"/>
      <w:bookmarkEnd w:id="298"/>
      <w:bookmarkEnd w:id="299"/>
    </w:p>
    <w:p w14:paraId="165E06C5">
      <w:pPr>
        <w:pStyle w:val="12"/>
        <w:snapToGrid w:val="0"/>
        <w:spacing w:before="0" w:after="0" w:line="276" w:lineRule="auto"/>
        <w:jc w:val="left"/>
        <w:outlineLvl w:val="9"/>
        <w:rPr>
          <w:rFonts w:hint="eastAsia" w:ascii="宋体" w:hAnsi="宋体"/>
          <w:b w:val="0"/>
          <w:sz w:val="21"/>
        </w:rPr>
      </w:pPr>
      <w:bookmarkStart w:id="300" w:name="_Toc5014"/>
      <w:r>
        <w:rPr>
          <w:rFonts w:hint="eastAsia" w:ascii="黑体" w:hAnsi="黑体" w:eastAsia="黑体"/>
          <w:b w:val="0"/>
          <w:sz w:val="21"/>
        </w:rPr>
        <w:t>A.2.3</w:t>
      </w:r>
      <w:r>
        <w:rPr>
          <w:rFonts w:hint="eastAsia" w:ascii="宋体" w:hAnsi="宋体"/>
          <w:b w:val="0"/>
          <w:sz w:val="21"/>
        </w:rPr>
        <w:t xml:space="preserve">  酊剂、含片、咀嚼片不适宜于3岁以下患儿服用。</w:t>
      </w:r>
      <w:bookmarkEnd w:id="300"/>
    </w:p>
    <w:p w14:paraId="3036823E">
      <w:pPr>
        <w:pStyle w:val="12"/>
        <w:spacing w:before="312" w:beforeLines="100" w:after="312" w:afterLines="100" w:line="276" w:lineRule="auto"/>
        <w:jc w:val="both"/>
        <w:outlineLvl w:val="9"/>
        <w:rPr>
          <w:rFonts w:hint="eastAsia" w:ascii="黑体" w:hAnsi="黑体" w:eastAsia="黑体"/>
          <w:b w:val="0"/>
          <w:sz w:val="21"/>
        </w:rPr>
      </w:pPr>
      <w:bookmarkStart w:id="301" w:name="_Toc372797615"/>
      <w:bookmarkStart w:id="302" w:name="_Toc20925"/>
      <w:bookmarkStart w:id="303" w:name="_Toc372796902"/>
      <w:r>
        <w:rPr>
          <w:rFonts w:hint="eastAsia" w:ascii="黑体" w:hAnsi="黑体" w:eastAsia="黑体"/>
          <w:b w:val="0"/>
          <w:sz w:val="21"/>
        </w:rPr>
        <w:t>A.3  儿科中药鼻饲给药方法注意事项</w:t>
      </w:r>
      <w:bookmarkEnd w:id="301"/>
      <w:bookmarkEnd w:id="302"/>
      <w:bookmarkEnd w:id="303"/>
    </w:p>
    <w:p w14:paraId="362F53B9">
      <w:pPr>
        <w:widowControl/>
        <w:snapToGrid w:val="0"/>
        <w:spacing w:line="276" w:lineRule="auto"/>
        <w:jc w:val="left"/>
        <w:rPr>
          <w:rFonts w:hint="eastAsia" w:ascii="宋体" w:hAnsi="宋体" w:cs="Arial"/>
          <w:spacing w:val="8"/>
          <w:kern w:val="0"/>
        </w:rPr>
      </w:pPr>
      <w:r>
        <w:rPr>
          <w:rFonts w:hint="eastAsia" w:ascii="黑体" w:hAnsi="黑体" w:eastAsia="黑体"/>
        </w:rPr>
        <w:t xml:space="preserve">A.3.1  </w:t>
      </w:r>
      <w:r>
        <w:rPr>
          <w:rFonts w:ascii="宋体" w:hAnsi="宋体"/>
        </w:rPr>
        <w:t>鼻饲前应将</w:t>
      </w:r>
      <w:r>
        <w:rPr>
          <w:rFonts w:hint="eastAsia" w:ascii="宋体" w:hAnsi="宋体"/>
        </w:rPr>
        <w:t>患儿</w:t>
      </w:r>
      <w:r>
        <w:t>床头抬高30°～35°，可避免灌药过程中及灌药后的呛咳、返流、呕吐等情况，减少吸入性肺炎的发生。</w:t>
      </w:r>
    </w:p>
    <w:p w14:paraId="50ABB9D2">
      <w:pPr>
        <w:pStyle w:val="12"/>
        <w:snapToGrid w:val="0"/>
        <w:spacing w:before="0" w:after="0" w:line="276" w:lineRule="auto"/>
        <w:jc w:val="left"/>
        <w:outlineLvl w:val="9"/>
        <w:rPr>
          <w:rFonts w:hint="eastAsia" w:ascii="宋体" w:hAnsi="宋体" w:cs="Arial"/>
          <w:b w:val="0"/>
          <w:spacing w:val="8"/>
          <w:kern w:val="0"/>
          <w:sz w:val="21"/>
        </w:rPr>
      </w:pPr>
      <w:bookmarkStart w:id="304" w:name="_Toc31735"/>
      <w:bookmarkStart w:id="305" w:name="_Toc372797616"/>
      <w:bookmarkStart w:id="306" w:name="_Toc372796903"/>
      <w:r>
        <w:rPr>
          <w:rFonts w:hint="eastAsia" w:ascii="黑体" w:hAnsi="黑体" w:eastAsia="黑体"/>
          <w:b w:val="0"/>
          <w:sz w:val="21"/>
        </w:rPr>
        <w:t>A.3.2</w:t>
      </w:r>
      <w:r>
        <w:rPr>
          <w:rFonts w:hint="eastAsia" w:ascii="黑体" w:hAnsi="黑体" w:eastAsia="黑体"/>
          <w:b w:val="0"/>
          <w:sz w:val="21"/>
          <w:lang w:val="en-US"/>
        </w:rPr>
        <w:t xml:space="preserve">  </w:t>
      </w:r>
      <w:r>
        <w:rPr>
          <w:rFonts w:ascii="宋体" w:hAnsi="宋体"/>
          <w:b w:val="0"/>
          <w:sz w:val="21"/>
          <w:lang w:val="en-US"/>
        </w:rPr>
        <w:t>鼻饲回</w:t>
      </w:r>
      <w:r>
        <w:rPr>
          <w:rFonts w:ascii="Times New Roman" w:hAnsi="Times New Roman"/>
          <w:b w:val="0"/>
          <w:sz w:val="21"/>
          <w:lang w:val="en-US"/>
        </w:rPr>
        <w:t>抽有胃液时，观察有无消化道出血或胃潴留（血性、咖啡色胃液或空腹胃液大于200mL），</w:t>
      </w:r>
      <w:r>
        <w:rPr>
          <w:rFonts w:hint="eastAsia" w:ascii="Times New Roman" w:hAnsi="Times New Roman"/>
          <w:b w:val="0"/>
          <w:sz w:val="21"/>
          <w:lang w:val="en-US"/>
        </w:rPr>
        <w:t>若有则</w:t>
      </w:r>
      <w:r>
        <w:rPr>
          <w:rFonts w:ascii="Times New Roman" w:hAnsi="Times New Roman"/>
          <w:b w:val="0"/>
          <w:sz w:val="21"/>
          <w:lang w:val="en-US"/>
        </w:rPr>
        <w:t>应停止</w:t>
      </w:r>
      <w:r>
        <w:rPr>
          <w:rFonts w:ascii="宋体" w:hAnsi="宋体"/>
          <w:b w:val="0"/>
          <w:sz w:val="21"/>
          <w:lang w:val="en-US"/>
        </w:rPr>
        <w:t>鼻饲，待症状好转后再行鼻饲。如无异常可缓慢注入少量温开水，然后再灌注鼻饲药</w:t>
      </w:r>
      <w:r>
        <w:rPr>
          <w:rFonts w:hint="eastAsia" w:ascii="宋体" w:hAnsi="宋体"/>
          <w:b w:val="0"/>
          <w:sz w:val="21"/>
          <w:lang w:val="en-US"/>
        </w:rPr>
        <w:t>液</w:t>
      </w:r>
      <w:r>
        <w:rPr>
          <w:rFonts w:ascii="宋体" w:hAnsi="宋体"/>
          <w:b w:val="0"/>
          <w:sz w:val="21"/>
          <w:lang w:val="en-US"/>
        </w:rPr>
        <w:t>。</w:t>
      </w:r>
      <w:bookmarkEnd w:id="304"/>
      <w:bookmarkEnd w:id="305"/>
      <w:bookmarkEnd w:id="306"/>
    </w:p>
    <w:p w14:paraId="6704906B">
      <w:pPr>
        <w:pStyle w:val="12"/>
        <w:snapToGrid w:val="0"/>
        <w:spacing w:before="0" w:after="0" w:line="276" w:lineRule="auto"/>
        <w:jc w:val="left"/>
        <w:outlineLvl w:val="9"/>
        <w:rPr>
          <w:rFonts w:hint="eastAsia" w:ascii="宋体" w:hAnsi="宋体"/>
          <w:b w:val="0"/>
          <w:sz w:val="21"/>
        </w:rPr>
      </w:pPr>
      <w:bookmarkStart w:id="307" w:name="_Toc372796904"/>
      <w:bookmarkStart w:id="308" w:name="_Toc23276"/>
      <w:bookmarkStart w:id="309" w:name="_Toc372797617"/>
      <w:r>
        <w:rPr>
          <w:rFonts w:hint="eastAsia" w:ascii="黑体" w:hAnsi="黑体" w:eastAsia="黑体"/>
          <w:b w:val="0"/>
          <w:sz w:val="21"/>
        </w:rPr>
        <w:t>A.3.3</w:t>
      </w:r>
      <w:r>
        <w:rPr>
          <w:rFonts w:hint="eastAsia" w:ascii="黑体" w:hAnsi="黑体" w:eastAsia="黑体"/>
          <w:b w:val="0"/>
          <w:sz w:val="21"/>
          <w:lang w:val="en-US"/>
        </w:rPr>
        <w:t xml:space="preserve">  </w:t>
      </w:r>
      <w:r>
        <w:rPr>
          <w:rFonts w:ascii="宋体" w:hAnsi="宋体"/>
          <w:b w:val="0"/>
          <w:sz w:val="21"/>
          <w:lang w:val="en-US"/>
        </w:rPr>
        <w:t>鼻饲前要检查胃管有无脱出、松动或盘于口腔。</w:t>
      </w:r>
      <w:bookmarkEnd w:id="307"/>
      <w:bookmarkEnd w:id="308"/>
      <w:bookmarkEnd w:id="309"/>
      <w:bookmarkStart w:id="310" w:name="_Toc372796905"/>
      <w:bookmarkStart w:id="311" w:name="_Toc372797618"/>
    </w:p>
    <w:p w14:paraId="35253EA0">
      <w:pPr>
        <w:pStyle w:val="12"/>
        <w:snapToGrid w:val="0"/>
        <w:spacing w:before="0" w:after="0" w:line="276" w:lineRule="auto"/>
        <w:jc w:val="left"/>
        <w:outlineLvl w:val="9"/>
        <w:rPr>
          <w:rFonts w:hint="eastAsia" w:ascii="宋体" w:hAnsi="宋体"/>
          <w:b w:val="0"/>
          <w:sz w:val="21"/>
        </w:rPr>
      </w:pPr>
      <w:bookmarkStart w:id="312" w:name="_Toc16916"/>
      <w:r>
        <w:rPr>
          <w:rFonts w:hint="eastAsia" w:ascii="黑体" w:hAnsi="黑体" w:eastAsia="黑体" w:cs="Arial"/>
          <w:b w:val="0"/>
          <w:spacing w:val="8"/>
          <w:kern w:val="0"/>
          <w:sz w:val="21"/>
        </w:rPr>
        <w:t>A</w:t>
      </w:r>
      <w:r>
        <w:rPr>
          <w:rFonts w:hint="eastAsia" w:ascii="黑体" w:hAnsi="黑体" w:eastAsia="黑体"/>
          <w:b w:val="0"/>
          <w:sz w:val="21"/>
        </w:rPr>
        <w:t>.</w:t>
      </w:r>
      <w:r>
        <w:rPr>
          <w:rFonts w:hint="eastAsia" w:ascii="黑体" w:hAnsi="黑体" w:eastAsia="黑体" w:cs="Arial"/>
          <w:b w:val="0"/>
          <w:spacing w:val="8"/>
          <w:kern w:val="0"/>
          <w:sz w:val="21"/>
        </w:rPr>
        <w:t>3</w:t>
      </w:r>
      <w:r>
        <w:rPr>
          <w:rFonts w:hint="eastAsia" w:ascii="黑体" w:hAnsi="黑体" w:eastAsia="黑体"/>
          <w:b w:val="0"/>
          <w:sz w:val="21"/>
        </w:rPr>
        <w:t>.</w:t>
      </w:r>
      <w:r>
        <w:rPr>
          <w:rFonts w:hint="eastAsia" w:ascii="黑体" w:hAnsi="黑体" w:eastAsia="黑体" w:cs="Arial"/>
          <w:b w:val="0"/>
          <w:spacing w:val="8"/>
          <w:kern w:val="0"/>
          <w:sz w:val="21"/>
        </w:rPr>
        <w:t>4</w:t>
      </w:r>
      <w:r>
        <w:rPr>
          <w:rFonts w:hint="eastAsia" w:ascii="黑体" w:hAnsi="黑体" w:eastAsia="黑体" w:cs="Arial"/>
          <w:b w:val="0"/>
          <w:spacing w:val="8"/>
          <w:kern w:val="0"/>
          <w:sz w:val="21"/>
          <w:lang w:val="en-US"/>
        </w:rPr>
        <w:t xml:space="preserve">  </w:t>
      </w:r>
      <w:r>
        <w:rPr>
          <w:rFonts w:ascii="宋体" w:hAnsi="宋体"/>
          <w:b w:val="0"/>
          <w:sz w:val="21"/>
          <w:lang w:val="en-US"/>
        </w:rPr>
        <w:t>鼻饲速度应缓慢，并随时观察</w:t>
      </w:r>
      <w:r>
        <w:rPr>
          <w:rFonts w:hint="eastAsia" w:ascii="宋体" w:hAnsi="宋体"/>
          <w:b w:val="0"/>
          <w:sz w:val="21"/>
          <w:lang w:val="en-US"/>
        </w:rPr>
        <w:t>患儿</w:t>
      </w:r>
      <w:r>
        <w:rPr>
          <w:rFonts w:ascii="宋体" w:hAnsi="宋体"/>
          <w:b w:val="0"/>
          <w:sz w:val="21"/>
          <w:lang w:val="en-US"/>
        </w:rPr>
        <w:t>的反应。</w:t>
      </w:r>
      <w:bookmarkEnd w:id="310"/>
      <w:bookmarkEnd w:id="311"/>
      <w:bookmarkEnd w:id="312"/>
    </w:p>
    <w:p w14:paraId="70E04D39">
      <w:pPr>
        <w:widowControl/>
        <w:snapToGrid w:val="0"/>
        <w:spacing w:line="276" w:lineRule="auto"/>
        <w:jc w:val="left"/>
        <w:rPr>
          <w:rFonts w:hint="eastAsia" w:ascii="宋体" w:hAnsi="宋体" w:cs="Arial"/>
          <w:spacing w:val="8"/>
          <w:kern w:val="0"/>
        </w:rPr>
      </w:pPr>
      <w:r>
        <w:rPr>
          <w:rFonts w:hint="eastAsia" w:ascii="黑体" w:hAnsi="黑体" w:eastAsia="黑体"/>
        </w:rPr>
        <w:t xml:space="preserve">A.3.5  </w:t>
      </w:r>
      <w:r>
        <w:rPr>
          <w:rFonts w:ascii="宋体" w:hAnsi="宋体"/>
        </w:rPr>
        <w:t>长期鼻饲患</w:t>
      </w:r>
      <w:r>
        <w:rPr>
          <w:rFonts w:hint="eastAsia" w:ascii="宋体" w:hAnsi="宋体"/>
        </w:rPr>
        <w:t>儿</w:t>
      </w:r>
      <w:r>
        <w:rPr>
          <w:rFonts w:ascii="宋体" w:hAnsi="宋体"/>
        </w:rPr>
        <w:t>要防止发生鼻</w:t>
      </w:r>
      <w:r>
        <w:rPr>
          <w:rFonts w:hint="eastAsia" w:ascii="宋体" w:hAnsi="宋体"/>
        </w:rPr>
        <w:t>与</w:t>
      </w:r>
      <w:r>
        <w:rPr>
          <w:rFonts w:ascii="宋体" w:hAnsi="宋体"/>
        </w:rPr>
        <w:t>食管溃疡、胃出血、肺部感染及胃肠道细菌感染。插胃管是一项与患</w:t>
      </w:r>
      <w:r>
        <w:rPr>
          <w:rFonts w:hint="eastAsia" w:ascii="宋体" w:hAnsi="宋体"/>
        </w:rPr>
        <w:t>儿</w:t>
      </w:r>
      <w:r>
        <w:rPr>
          <w:rFonts w:ascii="宋体" w:hAnsi="宋体"/>
        </w:rPr>
        <w:t>黏膜直接接触的机械性、侵入性操作，易损伤黏膜而诱发感染，操作者应技术娴熟，减少反复插管次数，</w:t>
      </w:r>
      <w:r>
        <w:rPr>
          <w:rFonts w:hint="eastAsia" w:ascii="宋体" w:hAnsi="宋体"/>
        </w:rPr>
        <w:t>采</w:t>
      </w:r>
      <w:r>
        <w:rPr>
          <w:rFonts w:ascii="宋体" w:hAnsi="宋体"/>
        </w:rPr>
        <w:t>用准确的操作方法和</w:t>
      </w:r>
      <w:r>
        <w:rPr>
          <w:rFonts w:hint="eastAsia" w:ascii="宋体" w:hAnsi="宋体"/>
        </w:rPr>
        <w:t>患儿体</w:t>
      </w:r>
      <w:r>
        <w:rPr>
          <w:rFonts w:ascii="宋体" w:hAnsi="宋体"/>
        </w:rPr>
        <w:t>位，提高一次性插管成功率。</w:t>
      </w:r>
    </w:p>
    <w:p w14:paraId="67FF8063">
      <w:pPr>
        <w:pStyle w:val="12"/>
        <w:spacing w:before="312" w:beforeLines="100" w:after="312" w:afterLines="100" w:line="276" w:lineRule="auto"/>
        <w:jc w:val="both"/>
        <w:outlineLvl w:val="9"/>
        <w:rPr>
          <w:rFonts w:hint="eastAsia" w:ascii="黑体" w:hAnsi="黑体" w:eastAsia="黑体"/>
          <w:b w:val="0"/>
          <w:sz w:val="21"/>
        </w:rPr>
      </w:pPr>
      <w:bookmarkStart w:id="313" w:name="_Toc27058"/>
      <w:bookmarkStart w:id="314" w:name="_Toc372797619"/>
      <w:bookmarkStart w:id="315" w:name="_Toc372796906"/>
      <w:r>
        <w:rPr>
          <w:rFonts w:hint="eastAsia" w:ascii="黑体" w:hAnsi="黑体" w:eastAsia="黑体"/>
          <w:b w:val="0"/>
          <w:sz w:val="21"/>
        </w:rPr>
        <w:t>A.4  儿科中药直肠给药法注意事项</w:t>
      </w:r>
      <w:bookmarkEnd w:id="313"/>
      <w:bookmarkEnd w:id="314"/>
      <w:bookmarkEnd w:id="315"/>
    </w:p>
    <w:p w14:paraId="4FED3965">
      <w:pPr>
        <w:pStyle w:val="12"/>
        <w:snapToGrid w:val="0"/>
        <w:spacing w:before="0" w:after="0" w:line="276" w:lineRule="auto"/>
        <w:jc w:val="both"/>
        <w:outlineLvl w:val="9"/>
        <w:rPr>
          <w:rFonts w:hint="eastAsia" w:ascii="宋体" w:hAnsi="宋体"/>
          <w:b w:val="0"/>
          <w:sz w:val="21"/>
        </w:rPr>
      </w:pPr>
      <w:bookmarkStart w:id="316" w:name="_Toc24582"/>
      <w:bookmarkStart w:id="317" w:name="_Toc372797620"/>
      <w:bookmarkStart w:id="318" w:name="_Toc372796907"/>
      <w:r>
        <w:rPr>
          <w:rFonts w:hint="eastAsia" w:ascii="黑体" w:hAnsi="黑体" w:eastAsia="黑体"/>
          <w:b w:val="0"/>
          <w:sz w:val="21"/>
        </w:rPr>
        <w:t xml:space="preserve">A.4.1 </w:t>
      </w:r>
      <w:r>
        <w:rPr>
          <w:rFonts w:hint="eastAsia" w:ascii="黑体" w:hAnsi="黑体" w:eastAsia="黑体"/>
          <w:b w:val="0"/>
          <w:sz w:val="21"/>
          <w:lang w:val="en-US"/>
        </w:rPr>
        <w:t xml:space="preserve"> </w:t>
      </w:r>
      <w:r>
        <w:rPr>
          <w:rFonts w:ascii="宋体" w:hAnsi="宋体"/>
          <w:b w:val="0"/>
          <w:sz w:val="21"/>
        </w:rPr>
        <w:t>操作时</w:t>
      </w:r>
      <w:r>
        <w:rPr>
          <w:rFonts w:hint="eastAsia" w:ascii="宋体" w:hAnsi="宋体"/>
          <w:b w:val="0"/>
          <w:sz w:val="21"/>
        </w:rPr>
        <w:t>注意</w:t>
      </w:r>
      <w:r>
        <w:rPr>
          <w:rFonts w:ascii="宋体" w:hAnsi="宋体"/>
          <w:b w:val="0"/>
          <w:sz w:val="21"/>
        </w:rPr>
        <w:t>保护</w:t>
      </w:r>
      <w:r>
        <w:rPr>
          <w:rFonts w:hint="eastAsia" w:ascii="宋体" w:hAnsi="宋体"/>
          <w:b w:val="0"/>
          <w:sz w:val="21"/>
        </w:rPr>
        <w:t>患儿</w:t>
      </w:r>
      <w:r>
        <w:rPr>
          <w:rFonts w:ascii="宋体" w:hAnsi="宋体"/>
          <w:b w:val="0"/>
          <w:sz w:val="21"/>
        </w:rPr>
        <w:t>自尊心</w:t>
      </w:r>
      <w:r>
        <w:rPr>
          <w:rFonts w:hint="eastAsia" w:ascii="宋体" w:hAnsi="宋体"/>
          <w:b w:val="0"/>
          <w:sz w:val="21"/>
        </w:rPr>
        <w:t>。</w:t>
      </w:r>
      <w:r>
        <w:rPr>
          <w:rFonts w:ascii="宋体" w:hAnsi="宋体"/>
          <w:b w:val="0"/>
          <w:sz w:val="21"/>
        </w:rPr>
        <w:t>防止</w:t>
      </w:r>
      <w:r>
        <w:rPr>
          <w:rFonts w:hint="eastAsia" w:ascii="宋体" w:hAnsi="宋体"/>
          <w:b w:val="0"/>
          <w:sz w:val="21"/>
        </w:rPr>
        <w:t>着</w:t>
      </w:r>
      <w:r>
        <w:rPr>
          <w:rFonts w:ascii="宋体" w:hAnsi="宋体"/>
          <w:b w:val="0"/>
          <w:sz w:val="21"/>
        </w:rPr>
        <w:t>凉。</w:t>
      </w:r>
      <w:bookmarkEnd w:id="316"/>
      <w:bookmarkEnd w:id="317"/>
      <w:bookmarkEnd w:id="318"/>
    </w:p>
    <w:p w14:paraId="5ABFB2F4">
      <w:pPr>
        <w:pStyle w:val="12"/>
        <w:snapToGrid w:val="0"/>
        <w:spacing w:before="0" w:after="0" w:line="276" w:lineRule="auto"/>
        <w:jc w:val="left"/>
        <w:outlineLvl w:val="9"/>
        <w:rPr>
          <w:rFonts w:hint="eastAsia" w:ascii="宋体" w:hAnsi="宋体"/>
          <w:b w:val="0"/>
          <w:sz w:val="21"/>
        </w:rPr>
      </w:pPr>
      <w:bookmarkStart w:id="319" w:name="_Toc26675"/>
      <w:bookmarkStart w:id="320" w:name="_Toc372797621"/>
      <w:bookmarkStart w:id="321" w:name="_Toc372796908"/>
      <w:r>
        <w:rPr>
          <w:rFonts w:hint="eastAsia" w:ascii="黑体" w:hAnsi="黑体" w:eastAsia="黑体"/>
          <w:b w:val="0"/>
          <w:sz w:val="21"/>
        </w:rPr>
        <w:t xml:space="preserve">A.4.2 </w:t>
      </w:r>
      <w:r>
        <w:rPr>
          <w:rFonts w:hint="eastAsia" w:ascii="黑体" w:hAnsi="黑体" w:eastAsia="黑体"/>
          <w:b w:val="0"/>
          <w:sz w:val="21"/>
          <w:lang w:val="en-US"/>
        </w:rPr>
        <w:t xml:space="preserve"> </w:t>
      </w:r>
      <w:r>
        <w:rPr>
          <w:rFonts w:ascii="宋体" w:hAnsi="宋体"/>
          <w:b w:val="0"/>
          <w:sz w:val="21"/>
        </w:rPr>
        <w:t>掌握</w:t>
      </w:r>
      <w:r>
        <w:rPr>
          <w:rFonts w:hint="eastAsia" w:ascii="宋体" w:hAnsi="宋体"/>
          <w:b w:val="0"/>
          <w:sz w:val="21"/>
        </w:rPr>
        <w:t>药液</w:t>
      </w:r>
      <w:r>
        <w:rPr>
          <w:rFonts w:ascii="宋体" w:hAnsi="宋体"/>
          <w:b w:val="0"/>
          <w:sz w:val="21"/>
        </w:rPr>
        <w:t>的温度、浓度、</w:t>
      </w:r>
      <w:r>
        <w:rPr>
          <w:rFonts w:hint="eastAsia" w:ascii="宋体" w:hAnsi="宋体"/>
          <w:b w:val="0"/>
          <w:sz w:val="21"/>
        </w:rPr>
        <w:t>滴</w:t>
      </w:r>
      <w:r>
        <w:rPr>
          <w:rFonts w:ascii="宋体" w:hAnsi="宋体"/>
          <w:b w:val="0"/>
          <w:sz w:val="21"/>
        </w:rPr>
        <w:t>速和液量</w:t>
      </w:r>
      <w:r>
        <w:rPr>
          <w:rFonts w:hint="eastAsia" w:ascii="宋体" w:hAnsi="宋体"/>
          <w:b w:val="0"/>
          <w:sz w:val="21"/>
        </w:rPr>
        <w:t>。灌注药液的过程中，患儿若有腹胀或便意，指导患儿张口深呼吸放松腹部肌肉，同时适当调慢灌注速度。</w:t>
      </w:r>
      <w:bookmarkEnd w:id="319"/>
      <w:bookmarkEnd w:id="320"/>
      <w:bookmarkEnd w:id="321"/>
    </w:p>
    <w:p w14:paraId="07411DA0">
      <w:pPr>
        <w:spacing w:line="276" w:lineRule="auto"/>
        <w:jc w:val="left"/>
        <w:outlineLvl w:val="9"/>
        <w:rPr>
          <w:rFonts w:hint="eastAsia" w:ascii="宋体" w:hAnsi="宋体"/>
        </w:rPr>
      </w:pPr>
      <w:bookmarkStart w:id="322" w:name="_Toc13855"/>
      <w:bookmarkStart w:id="323" w:name="_Toc372797622"/>
      <w:bookmarkStart w:id="324" w:name="_Toc372796909"/>
      <w:r>
        <w:rPr>
          <w:rFonts w:hint="eastAsia" w:ascii="黑体" w:hAnsi="黑体" w:eastAsia="黑体"/>
        </w:rPr>
        <w:t>A.4.3</w:t>
      </w:r>
      <w:r>
        <w:rPr>
          <w:rFonts w:hint="eastAsia" w:ascii="宋体" w:hAnsi="宋体"/>
        </w:rPr>
        <w:t xml:space="preserve">  给药</w:t>
      </w:r>
      <w:r>
        <w:rPr>
          <w:rFonts w:ascii="宋体" w:hAnsi="宋体"/>
        </w:rPr>
        <w:t>过程中注意观察</w:t>
      </w:r>
      <w:r>
        <w:rPr>
          <w:rFonts w:hint="eastAsia" w:ascii="宋体" w:hAnsi="宋体"/>
        </w:rPr>
        <w:t>患儿</w:t>
      </w:r>
      <w:r>
        <w:rPr>
          <w:rFonts w:ascii="宋体" w:hAnsi="宋体"/>
        </w:rPr>
        <w:t>反</w:t>
      </w:r>
      <w:r>
        <w:rPr>
          <w:rFonts w:hint="eastAsia" w:ascii="宋体" w:hAnsi="宋体"/>
        </w:rPr>
        <w:t>应</w:t>
      </w:r>
      <w:r>
        <w:rPr>
          <w:rFonts w:ascii="宋体" w:hAnsi="宋体"/>
        </w:rPr>
        <w:t>，若出现面色苍白、出冷汗、剧烈腹痛、脉速、心慌、气急等，立即停止</w:t>
      </w:r>
      <w:r>
        <w:rPr>
          <w:rFonts w:hint="eastAsia" w:ascii="宋体" w:hAnsi="宋体"/>
        </w:rPr>
        <w:t>治疗</w:t>
      </w:r>
      <w:r>
        <w:rPr>
          <w:rFonts w:ascii="宋体" w:hAnsi="宋体"/>
        </w:rPr>
        <w:t>并</w:t>
      </w:r>
      <w:r>
        <w:rPr>
          <w:rFonts w:hint="eastAsia" w:ascii="宋体" w:hAnsi="宋体"/>
        </w:rPr>
        <w:t>由</w:t>
      </w:r>
      <w:r>
        <w:rPr>
          <w:rFonts w:ascii="宋体" w:hAnsi="宋体"/>
        </w:rPr>
        <w:t>医</w:t>
      </w:r>
      <w:r>
        <w:rPr>
          <w:rFonts w:hint="eastAsia" w:ascii="宋体" w:hAnsi="宋体"/>
        </w:rPr>
        <w:t>师</w:t>
      </w:r>
      <w:r>
        <w:rPr>
          <w:rFonts w:ascii="宋体" w:hAnsi="宋体"/>
        </w:rPr>
        <w:t>进行处理。</w:t>
      </w:r>
      <w:bookmarkEnd w:id="322"/>
      <w:bookmarkEnd w:id="323"/>
      <w:bookmarkEnd w:id="324"/>
    </w:p>
    <w:p w14:paraId="681A3493">
      <w:pPr>
        <w:pStyle w:val="12"/>
        <w:keepNext w:val="0"/>
        <w:keepLines w:val="0"/>
        <w:pageBreakBefore w:val="0"/>
        <w:widowControl w:val="0"/>
        <w:kinsoku/>
        <w:wordWrap/>
        <w:overflowPunct/>
        <w:topLinePunct w:val="0"/>
        <w:autoSpaceDE/>
        <w:autoSpaceDN/>
        <w:bidi w:val="0"/>
        <w:adjustRightInd/>
        <w:snapToGrid/>
        <w:spacing w:before="360" w:after="0" w:line="276" w:lineRule="auto"/>
        <w:textAlignment w:val="auto"/>
        <w:outlineLvl w:val="0"/>
        <w:rPr>
          <w:rFonts w:hint="eastAsia" w:ascii="黑体" w:hAnsi="黑体" w:eastAsia="黑体"/>
          <w:b w:val="0"/>
          <w:sz w:val="21"/>
        </w:rPr>
      </w:pPr>
      <w:r>
        <w:rPr>
          <w:rFonts w:ascii="宋体" w:hAnsi="宋体"/>
          <w:b w:val="0"/>
          <w:sz w:val="21"/>
          <w:lang w:val="en-US"/>
        </w:rPr>
        <w:br w:type="page"/>
      </w:r>
      <w:bookmarkStart w:id="325" w:name="_Toc372797623"/>
      <w:bookmarkStart w:id="326" w:name="_Toc372796910"/>
      <w:r>
        <w:rPr>
          <w:rFonts w:hint="eastAsia" w:ascii="黑体" w:hAnsi="黑体" w:eastAsia="黑体"/>
          <w:b w:val="0"/>
          <w:sz w:val="21"/>
        </w:rPr>
        <w:t>附录B</w:t>
      </w:r>
      <w:bookmarkEnd w:id="325"/>
      <w:bookmarkEnd w:id="326"/>
    </w:p>
    <w:p w14:paraId="505FE71C">
      <w:pPr>
        <w:pStyle w:val="12"/>
        <w:keepNext w:val="0"/>
        <w:keepLines w:val="0"/>
        <w:pageBreakBefore w:val="0"/>
        <w:widowControl w:val="0"/>
        <w:kinsoku/>
        <w:wordWrap/>
        <w:overflowPunct/>
        <w:topLinePunct w:val="0"/>
        <w:autoSpaceDE/>
        <w:autoSpaceDN/>
        <w:bidi w:val="0"/>
        <w:adjustRightInd/>
        <w:snapToGrid/>
        <w:spacing w:before="0" w:after="0" w:line="276" w:lineRule="auto"/>
        <w:textAlignment w:val="auto"/>
        <w:outlineLvl w:val="0"/>
        <w:rPr>
          <w:rFonts w:hint="eastAsia" w:ascii="黑体" w:hAnsi="黑体" w:eastAsia="黑体"/>
          <w:b w:val="0"/>
          <w:sz w:val="21"/>
        </w:rPr>
      </w:pPr>
      <w:bookmarkStart w:id="327" w:name="_Toc372797624"/>
      <w:bookmarkStart w:id="328" w:name="_Toc12419"/>
      <w:bookmarkStart w:id="329" w:name="_Toc372796911"/>
      <w:r>
        <w:rPr>
          <w:rFonts w:hint="eastAsia" w:ascii="黑体" w:hAnsi="黑体" w:eastAsia="黑体"/>
          <w:b w:val="0"/>
          <w:sz w:val="21"/>
        </w:rPr>
        <w:t>（资料性）</w:t>
      </w:r>
      <w:bookmarkEnd w:id="327"/>
      <w:bookmarkEnd w:id="328"/>
      <w:bookmarkEnd w:id="329"/>
    </w:p>
    <w:p w14:paraId="0A31F2BE">
      <w:pPr>
        <w:pStyle w:val="12"/>
        <w:keepNext w:val="0"/>
        <w:keepLines w:val="0"/>
        <w:pageBreakBefore w:val="0"/>
        <w:widowControl w:val="0"/>
        <w:kinsoku/>
        <w:wordWrap/>
        <w:overflowPunct/>
        <w:topLinePunct w:val="0"/>
        <w:autoSpaceDE/>
        <w:autoSpaceDN/>
        <w:bidi w:val="0"/>
        <w:adjustRightInd/>
        <w:snapToGrid/>
        <w:spacing w:before="0" w:after="0" w:line="276" w:lineRule="auto"/>
        <w:textAlignment w:val="auto"/>
        <w:outlineLvl w:val="0"/>
        <w:rPr>
          <w:rFonts w:hint="eastAsia" w:ascii="黑体" w:hAnsi="黑体" w:eastAsia="黑体"/>
          <w:b w:val="0"/>
          <w:sz w:val="21"/>
        </w:rPr>
      </w:pPr>
      <w:bookmarkStart w:id="330" w:name="_Toc372797625"/>
      <w:bookmarkStart w:id="331" w:name="_Toc372796912"/>
      <w:bookmarkStart w:id="332" w:name="_Toc16849"/>
      <w:r>
        <w:rPr>
          <w:rFonts w:hint="eastAsia" w:ascii="黑体" w:hAnsi="黑体" w:eastAsia="黑体"/>
          <w:b w:val="0"/>
          <w:sz w:val="21"/>
        </w:rPr>
        <w:t>中医儿科内治给药禁忌</w:t>
      </w:r>
      <w:bookmarkEnd w:id="330"/>
      <w:bookmarkEnd w:id="331"/>
      <w:bookmarkEnd w:id="332"/>
    </w:p>
    <w:p w14:paraId="393A2722">
      <w:pPr>
        <w:pStyle w:val="12"/>
        <w:spacing w:before="312" w:beforeLines="100" w:after="312" w:afterLines="100" w:line="276" w:lineRule="auto"/>
        <w:jc w:val="both"/>
        <w:outlineLvl w:val="9"/>
        <w:rPr>
          <w:rFonts w:hint="eastAsia" w:ascii="黑体" w:hAnsi="黑体" w:eastAsia="黑体"/>
          <w:b w:val="0"/>
          <w:sz w:val="21"/>
        </w:rPr>
      </w:pPr>
      <w:bookmarkStart w:id="333" w:name="_Toc372796913"/>
      <w:bookmarkStart w:id="334" w:name="_Toc372797626"/>
      <w:bookmarkStart w:id="335" w:name="_Toc20614"/>
      <w:r>
        <w:rPr>
          <w:rFonts w:hint="eastAsia" w:ascii="黑体" w:hAnsi="黑体" w:eastAsia="黑体"/>
          <w:b w:val="0"/>
          <w:sz w:val="21"/>
        </w:rPr>
        <w:t>B.1  儿科口服汤剂禁忌</w:t>
      </w:r>
      <w:bookmarkEnd w:id="333"/>
      <w:bookmarkEnd w:id="334"/>
      <w:bookmarkEnd w:id="335"/>
    </w:p>
    <w:p w14:paraId="06FC2177">
      <w:pPr>
        <w:pStyle w:val="12"/>
        <w:snapToGrid w:val="0"/>
        <w:spacing w:before="0" w:after="0" w:line="276" w:lineRule="auto"/>
        <w:jc w:val="left"/>
        <w:outlineLvl w:val="9"/>
        <w:rPr>
          <w:rFonts w:hint="eastAsia" w:ascii="宋体" w:hAnsi="宋体"/>
          <w:b w:val="0"/>
          <w:sz w:val="21"/>
        </w:rPr>
      </w:pPr>
      <w:bookmarkStart w:id="336" w:name="_Toc372796914"/>
      <w:bookmarkStart w:id="337" w:name="_Toc13269"/>
      <w:bookmarkStart w:id="338" w:name="_Toc372797627"/>
      <w:r>
        <w:rPr>
          <w:rFonts w:hint="eastAsia" w:ascii="黑体" w:hAnsi="黑体" w:eastAsia="黑体"/>
          <w:b w:val="0"/>
          <w:sz w:val="21"/>
        </w:rPr>
        <w:t>B.1.1</w:t>
      </w:r>
      <w:r>
        <w:rPr>
          <w:rFonts w:hint="eastAsia" w:ascii="宋体" w:hAnsi="宋体"/>
          <w:b w:val="0"/>
          <w:sz w:val="21"/>
        </w:rPr>
        <w:t xml:space="preserve">  煎煮中药汤剂不可用铁制及其他</w:t>
      </w:r>
      <w:r>
        <w:rPr>
          <w:rFonts w:hint="eastAsia" w:ascii="宋体" w:hAnsi="宋体"/>
          <w:b w:val="0"/>
          <w:sz w:val="21"/>
          <w:lang w:val="en-US"/>
        </w:rPr>
        <w:t>除</w:t>
      </w:r>
      <w:r>
        <w:rPr>
          <w:rFonts w:hint="eastAsia" w:ascii="宋体" w:hAnsi="宋体"/>
          <w:b w:val="0"/>
          <w:sz w:val="21"/>
        </w:rPr>
        <w:t>食品级不锈钢（304或316等）</w:t>
      </w:r>
      <w:r>
        <w:rPr>
          <w:rFonts w:hint="eastAsia" w:ascii="宋体" w:hAnsi="宋体"/>
          <w:b w:val="0"/>
          <w:sz w:val="21"/>
          <w:lang w:val="en-US"/>
        </w:rPr>
        <w:t>之外的</w:t>
      </w:r>
      <w:r>
        <w:rPr>
          <w:rFonts w:hint="eastAsia" w:ascii="宋体" w:hAnsi="宋体"/>
          <w:b w:val="0"/>
          <w:sz w:val="21"/>
        </w:rPr>
        <w:t>金属器皿。</w:t>
      </w:r>
      <w:bookmarkEnd w:id="336"/>
      <w:bookmarkEnd w:id="337"/>
      <w:bookmarkEnd w:id="338"/>
    </w:p>
    <w:p w14:paraId="119C8B1B">
      <w:pPr>
        <w:pStyle w:val="12"/>
        <w:snapToGrid w:val="0"/>
        <w:spacing w:before="0" w:after="0" w:line="276" w:lineRule="auto"/>
        <w:jc w:val="left"/>
        <w:outlineLvl w:val="9"/>
        <w:rPr>
          <w:rFonts w:hint="eastAsia" w:ascii="宋体" w:hAnsi="宋体"/>
          <w:b w:val="0"/>
          <w:sz w:val="21"/>
        </w:rPr>
      </w:pPr>
      <w:bookmarkStart w:id="339" w:name="_Toc27061"/>
      <w:bookmarkStart w:id="340" w:name="_Toc372796915"/>
      <w:bookmarkStart w:id="341" w:name="_Toc372797628"/>
      <w:r>
        <w:rPr>
          <w:rFonts w:hint="eastAsia" w:ascii="黑体" w:hAnsi="黑体" w:eastAsia="黑体"/>
          <w:b w:val="0"/>
          <w:sz w:val="21"/>
        </w:rPr>
        <w:t>B.1.2</w:t>
      </w:r>
      <w:r>
        <w:rPr>
          <w:rFonts w:hint="eastAsia" w:ascii="宋体" w:hAnsi="宋体"/>
          <w:b w:val="0"/>
          <w:sz w:val="21"/>
        </w:rPr>
        <w:t xml:space="preserve">  忌用捏鼻灌服汤剂，以防呛入气道。</w:t>
      </w:r>
      <w:bookmarkEnd w:id="339"/>
      <w:bookmarkEnd w:id="340"/>
      <w:bookmarkEnd w:id="341"/>
    </w:p>
    <w:p w14:paraId="3D91391D">
      <w:pPr>
        <w:pStyle w:val="12"/>
        <w:spacing w:before="312" w:beforeLines="100" w:after="312" w:afterLines="100" w:line="276" w:lineRule="auto"/>
        <w:jc w:val="both"/>
        <w:outlineLvl w:val="9"/>
        <w:rPr>
          <w:rFonts w:hint="eastAsia" w:ascii="黑体" w:hAnsi="黑体" w:eastAsia="黑体"/>
          <w:b w:val="0"/>
          <w:sz w:val="21"/>
        </w:rPr>
      </w:pPr>
      <w:bookmarkStart w:id="342" w:name="_Toc372796916"/>
      <w:bookmarkStart w:id="343" w:name="_Toc372797629"/>
      <w:bookmarkStart w:id="344" w:name="_Toc14688"/>
      <w:r>
        <w:rPr>
          <w:rFonts w:hint="eastAsia" w:ascii="黑体" w:hAnsi="黑体" w:eastAsia="黑体"/>
          <w:b w:val="0"/>
          <w:sz w:val="21"/>
        </w:rPr>
        <w:t>B.2  儿科中药鼻饲给药法禁忌</w:t>
      </w:r>
      <w:bookmarkEnd w:id="342"/>
      <w:bookmarkEnd w:id="343"/>
      <w:bookmarkEnd w:id="344"/>
    </w:p>
    <w:p w14:paraId="0748F11E">
      <w:pPr>
        <w:pStyle w:val="12"/>
        <w:snapToGrid w:val="0"/>
        <w:spacing w:before="0" w:after="0" w:line="276" w:lineRule="auto"/>
        <w:jc w:val="left"/>
        <w:outlineLvl w:val="9"/>
        <w:rPr>
          <w:rFonts w:hint="eastAsia" w:ascii="宋体" w:hAnsi="宋体"/>
          <w:b w:val="0"/>
          <w:color w:val="C00000"/>
          <w:sz w:val="21"/>
        </w:rPr>
      </w:pPr>
      <w:bookmarkStart w:id="345" w:name="_Toc372796917"/>
      <w:bookmarkStart w:id="346" w:name="_Toc372797630"/>
      <w:bookmarkStart w:id="347" w:name="_Toc1135"/>
      <w:r>
        <w:rPr>
          <w:rFonts w:hint="eastAsia" w:ascii="黑体" w:hAnsi="黑体" w:eastAsia="黑体"/>
          <w:b w:val="0"/>
          <w:sz w:val="21"/>
        </w:rPr>
        <w:t>B.2.1</w:t>
      </w:r>
      <w:r>
        <w:rPr>
          <w:rFonts w:hint="eastAsia" w:ascii="宋体" w:hAnsi="宋体"/>
          <w:b w:val="0"/>
          <w:sz w:val="21"/>
        </w:rPr>
        <w:t xml:space="preserve">  鼻饲给药法</w:t>
      </w:r>
      <w:r>
        <w:rPr>
          <w:rFonts w:ascii="宋体" w:hAnsi="宋体" w:cs="Arial"/>
          <w:b w:val="0"/>
          <w:spacing w:val="8"/>
          <w:kern w:val="0"/>
          <w:sz w:val="21"/>
        </w:rPr>
        <w:t>常用于昏迷、吞咽困难等不能</w:t>
      </w:r>
      <w:r>
        <w:rPr>
          <w:rFonts w:hint="eastAsia" w:ascii="宋体" w:hAnsi="宋体" w:cs="Arial"/>
          <w:b w:val="0"/>
          <w:spacing w:val="8"/>
          <w:kern w:val="0"/>
          <w:sz w:val="21"/>
        </w:rPr>
        <w:t>口服中药的患儿，以及已因病情需要而插管的患儿。若能够口服给药或可用直肠给药的患儿一般不要采用此法</w:t>
      </w:r>
      <w:r>
        <w:rPr>
          <w:rFonts w:ascii="宋体" w:hAnsi="宋体" w:cs="Arial"/>
          <w:b w:val="0"/>
          <w:spacing w:val="8"/>
          <w:kern w:val="0"/>
          <w:sz w:val="21"/>
        </w:rPr>
        <w:t>。</w:t>
      </w:r>
      <w:bookmarkEnd w:id="345"/>
      <w:bookmarkEnd w:id="346"/>
      <w:r>
        <w:rPr>
          <w:rFonts w:hint="eastAsia" w:ascii="宋体" w:hAnsi="宋体" w:cs="Arial"/>
          <w:b w:val="0"/>
          <w:spacing w:val="8"/>
          <w:kern w:val="0"/>
          <w:sz w:val="21"/>
        </w:rPr>
        <w:t>绝对禁忌症：胃肠功能衰竭；无法安全建立</w:t>
      </w:r>
      <w:r>
        <w:rPr>
          <w:rFonts w:hint="eastAsia" w:ascii="宋体" w:hAnsi="宋体" w:cs="Arial"/>
          <w:b w:val="0"/>
          <w:spacing w:val="8"/>
          <w:kern w:val="0"/>
          <w:sz w:val="21"/>
          <w:lang w:val="en-US"/>
        </w:rPr>
        <w:t>鼻胃</w:t>
      </w:r>
      <w:r>
        <w:rPr>
          <w:rFonts w:hint="eastAsia" w:ascii="宋体" w:hAnsi="宋体" w:cs="Arial"/>
          <w:b w:val="0"/>
          <w:spacing w:val="8"/>
          <w:kern w:val="0"/>
          <w:sz w:val="21"/>
        </w:rPr>
        <w:t>通道，例如严重面中部创伤、颅底骨折等；相对禁忌症：凝血功能异常、食管创伤、食管静脉曲张、食管狭窄、近期胃穿孔或胃手术史、近期鼻部手术等。</w:t>
      </w:r>
      <w:bookmarkEnd w:id="347"/>
    </w:p>
    <w:p w14:paraId="1456CEBD">
      <w:pPr>
        <w:pStyle w:val="12"/>
        <w:snapToGrid w:val="0"/>
        <w:spacing w:before="0" w:after="0" w:line="276" w:lineRule="auto"/>
        <w:jc w:val="left"/>
        <w:outlineLvl w:val="9"/>
        <w:rPr>
          <w:rFonts w:hint="eastAsia" w:ascii="宋体" w:hAnsi="宋体"/>
          <w:b w:val="0"/>
          <w:sz w:val="21"/>
        </w:rPr>
      </w:pPr>
      <w:bookmarkStart w:id="348" w:name="_Toc372796918"/>
      <w:bookmarkStart w:id="349" w:name="_Toc2881"/>
      <w:bookmarkStart w:id="350" w:name="_Toc372797631"/>
      <w:r>
        <w:rPr>
          <w:rFonts w:hint="eastAsia" w:ascii="黑体" w:hAnsi="黑体" w:eastAsia="黑体"/>
          <w:b w:val="0"/>
          <w:sz w:val="21"/>
        </w:rPr>
        <w:t>B.2.2</w:t>
      </w:r>
      <w:r>
        <w:rPr>
          <w:rFonts w:hint="eastAsia" w:ascii="宋体" w:hAnsi="宋体"/>
          <w:b w:val="0"/>
          <w:sz w:val="21"/>
        </w:rPr>
        <w:t xml:space="preserve">  胶囊、丸剂等固体制剂不能采用鼻饲法直接给药。</w:t>
      </w:r>
      <w:bookmarkEnd w:id="348"/>
      <w:bookmarkEnd w:id="349"/>
      <w:bookmarkEnd w:id="350"/>
    </w:p>
    <w:p w14:paraId="6145DD09">
      <w:pPr>
        <w:pStyle w:val="12"/>
        <w:snapToGrid w:val="0"/>
        <w:spacing w:before="0" w:after="0" w:line="276" w:lineRule="auto"/>
        <w:jc w:val="left"/>
        <w:outlineLvl w:val="9"/>
        <w:rPr>
          <w:rFonts w:hint="eastAsia" w:ascii="宋体" w:hAnsi="宋体" w:cs="Arial"/>
          <w:b w:val="0"/>
          <w:spacing w:val="8"/>
          <w:kern w:val="0"/>
          <w:sz w:val="21"/>
        </w:rPr>
      </w:pPr>
      <w:bookmarkStart w:id="351" w:name="_Toc372796919"/>
      <w:bookmarkStart w:id="352" w:name="_Toc15417"/>
      <w:bookmarkStart w:id="353" w:name="_Toc372797632"/>
      <w:r>
        <w:rPr>
          <w:rFonts w:hint="eastAsia" w:ascii="黑体" w:hAnsi="黑体" w:eastAsia="黑体"/>
          <w:b w:val="0"/>
          <w:sz w:val="21"/>
        </w:rPr>
        <w:t>B.2.3</w:t>
      </w:r>
      <w:r>
        <w:rPr>
          <w:rFonts w:hint="eastAsia" w:ascii="宋体" w:hAnsi="宋体"/>
          <w:b w:val="0"/>
          <w:sz w:val="21"/>
        </w:rPr>
        <w:t xml:space="preserve">  尽量避免频繁反复</w:t>
      </w:r>
      <w:r>
        <w:rPr>
          <w:rFonts w:ascii="宋体" w:hAnsi="宋体" w:cs="Arial"/>
          <w:b w:val="0"/>
          <w:spacing w:val="8"/>
          <w:kern w:val="0"/>
          <w:sz w:val="21"/>
        </w:rPr>
        <w:t>插管</w:t>
      </w:r>
      <w:r>
        <w:rPr>
          <w:rFonts w:hint="eastAsia" w:ascii="宋体" w:hAnsi="宋体" w:cs="Arial"/>
          <w:b w:val="0"/>
          <w:spacing w:val="8"/>
          <w:kern w:val="0"/>
          <w:sz w:val="21"/>
        </w:rPr>
        <w:t>。</w:t>
      </w:r>
      <w:bookmarkEnd w:id="351"/>
      <w:bookmarkEnd w:id="352"/>
      <w:bookmarkEnd w:id="353"/>
    </w:p>
    <w:p w14:paraId="503D7AD6">
      <w:pPr>
        <w:pStyle w:val="12"/>
        <w:spacing w:before="312" w:beforeLines="100" w:after="312" w:afterLines="100" w:line="276" w:lineRule="auto"/>
        <w:jc w:val="both"/>
        <w:outlineLvl w:val="9"/>
        <w:rPr>
          <w:rFonts w:hint="eastAsia" w:ascii="黑体" w:hAnsi="黑体" w:eastAsia="黑体"/>
          <w:b w:val="0"/>
          <w:sz w:val="21"/>
        </w:rPr>
      </w:pPr>
      <w:bookmarkStart w:id="354" w:name="_Toc8376"/>
      <w:bookmarkStart w:id="355" w:name="_Toc372797633"/>
      <w:bookmarkStart w:id="356" w:name="_Toc372796920"/>
      <w:r>
        <w:rPr>
          <w:rFonts w:hint="eastAsia" w:ascii="黑体" w:hAnsi="黑体" w:eastAsia="黑体"/>
          <w:b w:val="0"/>
          <w:sz w:val="21"/>
        </w:rPr>
        <w:t>B.3  儿科中药直肠给药法禁忌</w:t>
      </w:r>
      <w:bookmarkEnd w:id="354"/>
      <w:bookmarkEnd w:id="355"/>
      <w:bookmarkEnd w:id="356"/>
    </w:p>
    <w:p w14:paraId="619E320A">
      <w:pPr>
        <w:pStyle w:val="12"/>
        <w:snapToGrid w:val="0"/>
        <w:spacing w:before="0" w:after="0" w:line="276" w:lineRule="auto"/>
        <w:jc w:val="left"/>
        <w:outlineLvl w:val="9"/>
        <w:rPr>
          <w:rFonts w:hint="eastAsia" w:ascii="宋体" w:hAnsi="宋体"/>
          <w:b w:val="0"/>
          <w:sz w:val="21"/>
        </w:rPr>
      </w:pPr>
      <w:bookmarkStart w:id="357" w:name="_Toc372796921"/>
      <w:bookmarkStart w:id="358" w:name="_Toc30201"/>
      <w:bookmarkStart w:id="359" w:name="_Toc372797634"/>
      <w:r>
        <w:rPr>
          <w:rFonts w:hint="eastAsia" w:ascii="黑体" w:hAnsi="黑体" w:eastAsia="黑体"/>
          <w:b w:val="0"/>
          <w:sz w:val="21"/>
        </w:rPr>
        <w:t>B.3.1</w:t>
      </w:r>
      <w:r>
        <w:rPr>
          <w:rFonts w:hint="eastAsia" w:ascii="黑体" w:hAnsi="黑体" w:eastAsia="黑体"/>
          <w:b w:val="0"/>
          <w:sz w:val="21"/>
          <w:lang w:val="en-US"/>
        </w:rPr>
        <w:t xml:space="preserve">  </w:t>
      </w:r>
      <w:r>
        <w:rPr>
          <w:rFonts w:ascii="宋体" w:hAnsi="宋体"/>
          <w:b w:val="0"/>
          <w:sz w:val="21"/>
        </w:rPr>
        <w:t>凡肛门、直肠、结肠术后</w:t>
      </w:r>
      <w:r>
        <w:rPr>
          <w:rFonts w:hint="eastAsia" w:ascii="宋体" w:hAnsi="宋体"/>
          <w:b w:val="0"/>
          <w:sz w:val="21"/>
        </w:rPr>
        <w:t>与有</w:t>
      </w:r>
      <w:r>
        <w:rPr>
          <w:rFonts w:ascii="宋体" w:hAnsi="宋体"/>
          <w:b w:val="0"/>
          <w:sz w:val="21"/>
        </w:rPr>
        <w:t>肛疾</w:t>
      </w:r>
      <w:r>
        <w:rPr>
          <w:rFonts w:hint="eastAsia" w:ascii="宋体" w:hAnsi="宋体"/>
          <w:b w:val="0"/>
          <w:sz w:val="21"/>
        </w:rPr>
        <w:t>的患儿</w:t>
      </w:r>
      <w:r>
        <w:rPr>
          <w:rFonts w:ascii="宋体" w:hAnsi="宋体"/>
          <w:b w:val="0"/>
          <w:sz w:val="21"/>
        </w:rPr>
        <w:t>均不宜</w:t>
      </w:r>
      <w:r>
        <w:rPr>
          <w:rFonts w:hint="eastAsia" w:ascii="宋体" w:hAnsi="宋体"/>
          <w:b w:val="0"/>
          <w:sz w:val="21"/>
        </w:rPr>
        <w:t>直</w:t>
      </w:r>
      <w:r>
        <w:rPr>
          <w:rFonts w:ascii="宋体" w:hAnsi="宋体"/>
          <w:b w:val="0"/>
          <w:sz w:val="21"/>
        </w:rPr>
        <w:t>肠</w:t>
      </w:r>
      <w:r>
        <w:rPr>
          <w:rFonts w:hint="eastAsia" w:ascii="宋体" w:hAnsi="宋体"/>
          <w:b w:val="0"/>
          <w:sz w:val="21"/>
        </w:rPr>
        <w:t>给药</w:t>
      </w:r>
      <w:r>
        <w:rPr>
          <w:rFonts w:ascii="宋体" w:hAnsi="宋体"/>
          <w:b w:val="0"/>
          <w:sz w:val="21"/>
        </w:rPr>
        <w:t>。</w:t>
      </w:r>
      <w:bookmarkEnd w:id="357"/>
      <w:bookmarkEnd w:id="358"/>
      <w:bookmarkEnd w:id="359"/>
    </w:p>
    <w:p w14:paraId="2109D191">
      <w:pPr>
        <w:spacing w:line="240" w:lineRule="auto"/>
        <w:jc w:val="left"/>
        <w:outlineLvl w:val="9"/>
        <w:rPr>
          <w:rFonts w:ascii="Cambria" w:hAnsi="Cambria"/>
        </w:rPr>
      </w:pPr>
      <w:bookmarkStart w:id="360" w:name="_Toc372796922"/>
      <w:bookmarkStart w:id="361" w:name="_Toc29481"/>
      <w:bookmarkStart w:id="362" w:name="_Toc372797635"/>
      <w:r>
        <w:rPr>
          <w:rFonts w:hint="eastAsia" w:ascii="黑体" w:hAnsi="黑体" w:eastAsia="黑体"/>
          <w:b w:val="0"/>
          <w:sz w:val="21"/>
        </w:rPr>
        <w:t>B.3.2</w:t>
      </w:r>
      <w:r>
        <w:rPr>
          <w:rFonts w:hint="eastAsia" w:ascii="黑体" w:hAnsi="黑体" w:eastAsia="黑体"/>
          <w:b w:val="0"/>
          <w:sz w:val="21"/>
          <w:lang w:val="en-US"/>
        </w:rPr>
        <w:t xml:space="preserve">  </w:t>
      </w:r>
      <w:r>
        <w:rPr>
          <w:rFonts w:ascii="宋体" w:hAnsi="宋体"/>
          <w:b w:val="0"/>
          <w:sz w:val="21"/>
        </w:rPr>
        <w:t>急腹症疑有肠坏死穿孔等禁用</w:t>
      </w:r>
      <w:r>
        <w:rPr>
          <w:rFonts w:hint="eastAsia" w:ascii="宋体" w:hAnsi="宋体"/>
          <w:b w:val="0"/>
          <w:sz w:val="21"/>
        </w:rPr>
        <w:t>直肠给药</w:t>
      </w:r>
      <w:r>
        <w:rPr>
          <w:rFonts w:ascii="宋体" w:hAnsi="宋体"/>
          <w:b w:val="0"/>
          <w:sz w:val="21"/>
        </w:rPr>
        <w:t>。消化道出血、严重腹泻、严重心血管疾病等不宜灌肠。</w:t>
      </w:r>
      <w:bookmarkEnd w:id="360"/>
      <w:bookmarkEnd w:id="361"/>
      <w:bookmarkEnd w:id="362"/>
      <w:bookmarkStart w:id="363" w:name="_Toc396730201"/>
      <w:r>
        <w:rPr>
          <w:rFonts w:ascii="Cambria" w:hAnsi="Cambria"/>
        </w:rPr>
        <w:br w:type="page"/>
      </w:r>
    </w:p>
    <w:p w14:paraId="20479849">
      <w:pPr>
        <w:spacing w:before="313" w:beforeLines="100" w:after="313" w:afterLines="100" w:line="276" w:lineRule="auto"/>
        <w:jc w:val="center"/>
        <w:outlineLvl w:val="0"/>
        <w:rPr>
          <w:rFonts w:ascii="Cambria" w:hAnsi="Cambria" w:eastAsia="黑体"/>
          <w:sz w:val="22"/>
        </w:rPr>
      </w:pPr>
      <w:bookmarkStart w:id="364" w:name="_Toc31591"/>
      <w:r>
        <w:rPr>
          <w:rFonts w:ascii="Cambria" w:hAnsi="Cambria" w:eastAsia="黑体"/>
          <w:sz w:val="22"/>
        </w:rPr>
        <w:t>参</w:t>
      </w:r>
      <w:r>
        <w:rPr>
          <w:rFonts w:hint="eastAsia" w:ascii="Cambria" w:hAnsi="Cambria" w:eastAsia="黑体"/>
          <w:sz w:val="22"/>
          <w:lang w:val="en-US" w:eastAsia="zh-CN"/>
        </w:rPr>
        <w:t xml:space="preserve"> </w:t>
      </w:r>
      <w:r>
        <w:rPr>
          <w:rFonts w:ascii="Cambria" w:hAnsi="Cambria" w:eastAsia="黑体"/>
          <w:sz w:val="22"/>
        </w:rPr>
        <w:t>考</w:t>
      </w:r>
      <w:r>
        <w:rPr>
          <w:rFonts w:hint="eastAsia" w:ascii="Cambria" w:hAnsi="Cambria" w:eastAsia="黑体"/>
          <w:sz w:val="22"/>
          <w:lang w:val="en-US" w:eastAsia="zh-CN"/>
        </w:rPr>
        <w:t xml:space="preserve"> </w:t>
      </w:r>
      <w:r>
        <w:rPr>
          <w:rFonts w:ascii="Cambria" w:hAnsi="Cambria" w:eastAsia="黑体"/>
          <w:sz w:val="22"/>
        </w:rPr>
        <w:t>文</w:t>
      </w:r>
      <w:r>
        <w:rPr>
          <w:rFonts w:hint="eastAsia" w:ascii="Cambria" w:hAnsi="Cambria" w:eastAsia="黑体"/>
          <w:sz w:val="22"/>
          <w:lang w:val="en-US" w:eastAsia="zh-CN"/>
        </w:rPr>
        <w:t xml:space="preserve"> </w:t>
      </w:r>
      <w:r>
        <w:rPr>
          <w:rFonts w:ascii="Cambria" w:hAnsi="Cambria" w:eastAsia="黑体"/>
          <w:sz w:val="22"/>
        </w:rPr>
        <w:t>献</w:t>
      </w:r>
      <w:bookmarkEnd w:id="363"/>
      <w:bookmarkEnd w:id="364"/>
    </w:p>
    <w:p w14:paraId="75A9F984">
      <w:pPr>
        <w:spacing w:before="0" w:beforeLines="0" w:line="276" w:lineRule="auto"/>
        <w:ind w:firstLine="420" w:firstLineChars="200"/>
        <w:rPr>
          <w:rFonts w:hint="default" w:ascii="Cambria" w:hAnsi="Cambria" w:cs="Cambria"/>
          <w:highlight w:val="yellow"/>
        </w:rPr>
      </w:pPr>
      <w:r>
        <w:rPr>
          <w:rFonts w:hint="default" w:ascii="Cambria" w:hAnsi="Cambria" w:cs="Cambria"/>
          <w:sz w:val="21"/>
          <w:szCs w:val="21"/>
        </w:rPr>
        <w:t>[1]</w:t>
      </w:r>
      <w:r>
        <w:rPr>
          <w:rFonts w:hint="eastAsia" w:ascii="Cambria" w:hAnsi="Cambria" w:cs="Cambria"/>
          <w:sz w:val="21"/>
          <w:szCs w:val="21"/>
          <w:lang w:val="en-US" w:eastAsia="zh-CN"/>
        </w:rPr>
        <w:t xml:space="preserve"> </w:t>
      </w:r>
      <w:r>
        <w:rPr>
          <w:rFonts w:hint="default" w:ascii="Cambria" w:hAnsi="Cambria" w:cs="Cambria"/>
          <w:sz w:val="21"/>
          <w:szCs w:val="21"/>
        </w:rPr>
        <w:t>中华中医药学会. 中医儿科临床诊疗指南[M]. 北京:中国中医药出版社,2020.05.</w:t>
      </w:r>
    </w:p>
    <w:p w14:paraId="763D8402">
      <w:pPr>
        <w:wordWrap w:val="0"/>
        <w:spacing w:beforeLines="0" w:line="276" w:lineRule="auto"/>
        <w:ind w:left="0" w:firstLine="420" w:firstLineChars="200"/>
        <w:rPr>
          <w:rFonts w:hint="default" w:ascii="Cambria" w:hAnsi="Cambria" w:cs="Cambria"/>
          <w:sz w:val="21"/>
          <w:szCs w:val="21"/>
        </w:rPr>
      </w:pPr>
      <w:r>
        <w:rPr>
          <w:rFonts w:hint="default" w:ascii="Cambria" w:hAnsi="Cambria" w:cs="Cambria"/>
          <w:sz w:val="21"/>
          <w:szCs w:val="21"/>
        </w:rPr>
        <w:t>[2] World Health Organization. Pocket book of hospital care for children: guidelines for the management of common childhood illnesses [M/OL]. 2nd ed. Geneva: World Health Organization, 2013 [2025-12-19]. https://iris.who.int/server/api/core/bitstreams/8f110da0-22e6-4ef1-90e4-c9f1b7daa363/content</w:t>
      </w:r>
    </w:p>
    <w:p w14:paraId="30FE2F79">
      <w:pPr>
        <w:wordWrap w:val="0"/>
        <w:spacing w:beforeLines="0" w:line="276" w:lineRule="auto"/>
        <w:ind w:left="0" w:leftChars="0" w:firstLine="420" w:firstLineChars="200"/>
        <w:rPr>
          <w:rFonts w:hint="default" w:ascii="Cambria" w:hAnsi="Cambria" w:cs="Cambria"/>
          <w:sz w:val="21"/>
          <w:szCs w:val="21"/>
        </w:rPr>
      </w:pPr>
      <w:r>
        <w:rPr>
          <w:rFonts w:hint="default" w:ascii="Cambria" w:hAnsi="Cambria" w:cs="Cambria"/>
          <w:sz w:val="21"/>
          <w:szCs w:val="21"/>
        </w:rPr>
        <w:t xml:space="preserve">[3] Royal Children's Hospital (RCH). Nasogastric and Orogastric Tube Insertion and Management [EB/OL]. [2025-12-19]. </w:t>
      </w:r>
      <w:r>
        <w:rPr>
          <w:rFonts w:hint="default" w:ascii="Cambria" w:hAnsi="Cambria" w:cs="Cambria"/>
        </w:rPr>
        <w:fldChar w:fldCharType="begin"/>
      </w:r>
      <w:r>
        <w:rPr>
          <w:rFonts w:hint="default" w:ascii="Cambria" w:hAnsi="Cambria" w:cs="Cambria"/>
        </w:rPr>
        <w:instrText xml:space="preserve"> HYPERLINK "https://www.rch.org.au/rchcpg/hospital_clinical_guideline_index/Nasogastric_and_Orogastric_Tube_Insertion_and_Management/" \l "introduction" </w:instrText>
      </w:r>
      <w:r>
        <w:rPr>
          <w:rFonts w:hint="default" w:ascii="Cambria" w:hAnsi="Cambria" w:cs="Cambria"/>
        </w:rPr>
        <w:fldChar w:fldCharType="separate"/>
      </w:r>
      <w:r>
        <w:rPr>
          <w:rStyle w:val="17"/>
          <w:rFonts w:hint="default" w:ascii="Cambria" w:hAnsi="Cambria" w:cs="Cambria"/>
          <w:color w:val="auto"/>
          <w:sz w:val="21"/>
          <w:szCs w:val="21"/>
        </w:rPr>
        <w:t>https://www.rch.org.au/rchcpg/hospital_clinical_guideline_index/Nasogastric_and_Orogastric_Tube_Insertion_and_Management/#introduction</w:t>
      </w:r>
      <w:r>
        <w:rPr>
          <w:rStyle w:val="17"/>
          <w:rFonts w:hint="default" w:ascii="Cambria" w:hAnsi="Cambria" w:cs="Cambria"/>
          <w:color w:val="auto"/>
          <w:sz w:val="21"/>
          <w:szCs w:val="21"/>
        </w:rPr>
        <w:fldChar w:fldCharType="end"/>
      </w:r>
      <w:r>
        <w:rPr>
          <w:rFonts w:hint="default" w:ascii="Cambria" w:hAnsi="Cambria" w:cs="Cambria"/>
          <w:sz w:val="21"/>
          <w:szCs w:val="21"/>
        </w:rPr>
        <w:t>.</w:t>
      </w:r>
    </w:p>
    <w:p w14:paraId="226FFA6B">
      <w:pPr>
        <w:wordWrap w:val="0"/>
        <w:spacing w:beforeLines="0" w:line="276" w:lineRule="auto"/>
        <w:ind w:left="0" w:leftChars="0" w:firstLine="420" w:firstLineChars="200"/>
        <w:rPr>
          <w:rFonts w:hint="default" w:ascii="Cambria" w:hAnsi="Cambria" w:cs="Cambria"/>
          <w:sz w:val="21"/>
          <w:szCs w:val="21"/>
        </w:rPr>
      </w:pPr>
      <w:r>
        <w:rPr>
          <w:rFonts w:hint="default" w:ascii="Cambria" w:hAnsi="Cambria" w:cs="Cambria"/>
          <w:sz w:val="21"/>
          <w:szCs w:val="21"/>
        </w:rPr>
        <w:t xml:space="preserve">[4] NHS England. Patient safety alert: Nasogastric tube misplacement: continuing risk of death and severe harm [EB/OL]. London: NHS England, 2016 (2022-02-14)[2025-12-19]. </w:t>
      </w:r>
      <w:r>
        <w:rPr>
          <w:rFonts w:hint="default" w:ascii="Cambria" w:hAnsi="Cambria" w:cs="Cambria"/>
        </w:rPr>
        <w:fldChar w:fldCharType="begin"/>
      </w:r>
      <w:r>
        <w:rPr>
          <w:rFonts w:hint="default" w:ascii="Cambria" w:hAnsi="Cambria" w:cs="Cambria"/>
        </w:rPr>
        <w:instrText xml:space="preserve"> HYPERLINK "https://www.england.nhs.uk/publication/patient-safety-alert-nasogastric-tube-misplacement-continuing-risk-of-death-and-severe-harm/" </w:instrText>
      </w:r>
      <w:r>
        <w:rPr>
          <w:rFonts w:hint="default" w:ascii="Cambria" w:hAnsi="Cambria" w:cs="Cambria"/>
        </w:rPr>
        <w:fldChar w:fldCharType="separate"/>
      </w:r>
      <w:r>
        <w:rPr>
          <w:rStyle w:val="17"/>
          <w:rFonts w:hint="default" w:ascii="Cambria" w:hAnsi="Cambria" w:cs="Cambria"/>
          <w:color w:val="auto"/>
          <w:sz w:val="21"/>
          <w:szCs w:val="21"/>
        </w:rPr>
        <w:t>https://www.england.nhs.uk/publication/patient-safety-alert-nasogastric-tube-misplacement-continuing-risk-of-death-and-severe-harm/</w:t>
      </w:r>
      <w:r>
        <w:rPr>
          <w:rStyle w:val="17"/>
          <w:rFonts w:hint="default" w:ascii="Cambria" w:hAnsi="Cambria" w:cs="Cambria"/>
          <w:color w:val="auto"/>
          <w:sz w:val="21"/>
          <w:szCs w:val="21"/>
        </w:rPr>
        <w:fldChar w:fldCharType="end"/>
      </w:r>
      <w:r>
        <w:rPr>
          <w:rFonts w:hint="default" w:ascii="Cambria" w:hAnsi="Cambria" w:cs="Cambria"/>
          <w:sz w:val="21"/>
          <w:szCs w:val="21"/>
        </w:rPr>
        <w:t>.</w:t>
      </w:r>
    </w:p>
    <w:p w14:paraId="3CE69CF5">
      <w:pPr>
        <w:wordWrap w:val="0"/>
        <w:spacing w:beforeLines="0" w:line="276" w:lineRule="auto"/>
        <w:ind w:left="0" w:leftChars="0" w:firstLine="420" w:firstLineChars="200"/>
        <w:rPr>
          <w:rFonts w:hint="default" w:ascii="Cambria" w:hAnsi="Cambria" w:cs="Cambria"/>
          <w:sz w:val="21"/>
          <w:szCs w:val="21"/>
        </w:rPr>
      </w:pPr>
      <w:r>
        <w:rPr>
          <w:rFonts w:hint="default" w:ascii="Cambria" w:hAnsi="Cambria" w:cs="Cambria"/>
          <w:sz w:val="21"/>
          <w:szCs w:val="21"/>
        </w:rPr>
        <w:t>[5] NHS England. Patient Safety Alert: Nasogastric tube placement devices DO NOT replace initial position checks: Alert reference number: NHS/PSA/W/2013/001 [R/OL]. London: NHS England, 2013 [2025-12-19]. https://www.england.nhs.uk/wp-content/uploads/2019/12/psa-ng-tube.pdf.</w:t>
      </w:r>
    </w:p>
    <w:p w14:paraId="762044C8">
      <w:pPr>
        <w:wordWrap w:val="0"/>
        <w:spacing w:beforeLines="0" w:line="276" w:lineRule="auto"/>
        <w:ind w:left="0" w:leftChars="0" w:firstLine="420" w:firstLineChars="200"/>
        <w:rPr>
          <w:rFonts w:hint="default" w:ascii="Cambria" w:hAnsi="Cambria" w:cs="Cambria"/>
          <w:sz w:val="21"/>
          <w:szCs w:val="21"/>
        </w:rPr>
      </w:pPr>
      <w:r>
        <w:rPr>
          <w:rFonts w:hint="default" w:ascii="Cambria" w:hAnsi="Cambria" w:cs="Cambria"/>
          <w:sz w:val="21"/>
          <w:szCs w:val="21"/>
        </w:rPr>
        <w:t xml:space="preserve">[6] NSW Health. Nasogastric and Orogastric Tube Insertion and Management in Neonates, Infants and Children [M/OL]. Sydney: NSW Health, 2023[2025-12-19]. </w:t>
      </w:r>
      <w:r>
        <w:rPr>
          <w:rFonts w:hint="default" w:ascii="Cambria" w:hAnsi="Cambria" w:cs="Cambria"/>
        </w:rPr>
        <w:fldChar w:fldCharType="begin"/>
      </w:r>
      <w:r>
        <w:rPr>
          <w:rFonts w:hint="default" w:ascii="Cambria" w:hAnsi="Cambria" w:cs="Cambria"/>
        </w:rPr>
        <w:instrText xml:space="preserve"> HYPERLINK "https://www1.health.nsw.gov.au/pds/ActivePDSDocuments/GL2025_015.pdf" </w:instrText>
      </w:r>
      <w:r>
        <w:rPr>
          <w:rFonts w:hint="default" w:ascii="Cambria" w:hAnsi="Cambria" w:cs="Cambria"/>
        </w:rPr>
        <w:fldChar w:fldCharType="separate"/>
      </w:r>
      <w:r>
        <w:rPr>
          <w:rStyle w:val="17"/>
          <w:rFonts w:hint="default" w:ascii="Cambria" w:hAnsi="Cambria" w:cs="Cambria"/>
          <w:color w:val="auto"/>
          <w:sz w:val="21"/>
          <w:szCs w:val="21"/>
        </w:rPr>
        <w:t>https://www1.health.nsw.gov.au/pds/ActivePDSDocuments/GL2025_015.pdf</w:t>
      </w:r>
      <w:r>
        <w:rPr>
          <w:rStyle w:val="17"/>
          <w:rFonts w:hint="default" w:ascii="Cambria" w:hAnsi="Cambria" w:cs="Cambria"/>
          <w:color w:val="auto"/>
          <w:sz w:val="21"/>
          <w:szCs w:val="21"/>
        </w:rPr>
        <w:fldChar w:fldCharType="end"/>
      </w:r>
    </w:p>
    <w:p w14:paraId="296A0A5E">
      <w:pPr>
        <w:wordWrap w:val="0"/>
        <w:spacing w:beforeLines="0" w:line="276" w:lineRule="auto"/>
        <w:ind w:left="0" w:leftChars="0" w:firstLine="420" w:firstLineChars="200"/>
        <w:rPr>
          <w:rFonts w:hint="default" w:ascii="Cambria" w:hAnsi="Cambria" w:cs="Cambria"/>
          <w:sz w:val="21"/>
          <w:szCs w:val="21"/>
          <w:lang w:val="en-US" w:eastAsia="zh-CN"/>
        </w:rPr>
      </w:pPr>
      <w:r>
        <w:rPr>
          <w:rFonts w:hint="default" w:ascii="Cambria" w:hAnsi="Cambria" w:cs="Cambria"/>
          <w:sz w:val="21"/>
          <w:szCs w:val="21"/>
        </w:rPr>
        <w:t>[7] Irving S Y, Rempel G, Lyman B, et al.; The American Society for Parenteral and Enteral Nutrition (ASPEN). Pediatric Nasogastric Tube Placement and Verification: Best Practice Recommendations From the NOVEL Project [J/OL]. Nutrition in Clinical Practice, 2018, 33 (4): 511-526 [2025-12-19]. https://aspenjournals.onlinelibrary.wiley.com/doi/10.1002/ncp.10189. DOI: 10.1002/ncp.10189</w:t>
      </w:r>
      <w:r>
        <w:rPr>
          <w:rFonts w:hint="default" w:ascii="Cambria" w:hAnsi="Cambria" w:cs="Cambria"/>
          <w:sz w:val="21"/>
          <w:szCs w:val="21"/>
          <w:lang w:val="en-US" w:eastAsia="zh-CN"/>
        </w:rPr>
        <w:t>/</w:t>
      </w:r>
    </w:p>
    <w:p w14:paraId="6FB47966">
      <w:pPr>
        <w:wordWrap/>
        <w:spacing w:line="240" w:lineRule="auto"/>
        <w:ind w:left="0" w:leftChars="0"/>
        <w:rPr>
          <w:rFonts w:hint="default" w:ascii="Cambria" w:hAnsi="Cambria" w:eastAsia="宋体" w:cs="Cambria"/>
          <w:b w:val="0"/>
          <w:sz w:val="21"/>
          <w:szCs w:val="21"/>
          <w:lang w:val="en-US" w:eastAsia="zh-CN"/>
        </w:rPr>
      </w:pPr>
      <w:r>
        <w:rPr>
          <w:rFonts w:hint="default" w:ascii="Cambria" w:hAnsi="Cambria" w:eastAsia="宋体" w:cs="Cambria"/>
          <w:b w:val="0"/>
          <w:sz w:val="21"/>
          <w:szCs w:val="21"/>
          <w:lang w:val="en-US" w:eastAsia="zh-CN"/>
        </w:rPr>
        <w:br w:type="page"/>
      </w:r>
    </w:p>
    <w:p w14:paraId="4F907F42">
      <w:pPr>
        <w:spacing w:line="276" w:lineRule="auto"/>
        <w:ind w:right="-857" w:rightChars="-408"/>
        <w:jc w:val="right"/>
        <w:rPr>
          <w:rFonts w:ascii="Cambria" w:hAnsi="Cambria" w:cs="Cambria"/>
          <w:spacing w:val="20"/>
          <w:w w:val="200"/>
          <w:sz w:val="24"/>
          <w:szCs w:val="24"/>
        </w:rPr>
      </w:pPr>
    </w:p>
    <w:sdt>
      <w:sdtPr>
        <w:rPr>
          <w:rFonts w:ascii="Cambria" w:hAnsi="Cambria" w:cs="Cambria"/>
          <w:sz w:val="24"/>
          <w:szCs w:val="24"/>
        </w:rPr>
        <w:id w:val="147465295"/>
        <w15:color w:val="DBDBDB"/>
        <w:docPartObj>
          <w:docPartGallery w:val="Table of Contents"/>
          <w:docPartUnique/>
        </w:docPartObj>
      </w:sdtPr>
      <w:sdtEndPr>
        <w:rPr>
          <w:rFonts w:ascii="Cambria" w:hAnsi="Cambria" w:cs="Cambria"/>
          <w:sz w:val="24"/>
          <w:szCs w:val="24"/>
        </w:rPr>
      </w:sdtEndPr>
      <w:sdtContent>
        <w:p w14:paraId="4EF3F986"/>
      </w:sdtContent>
    </w:sdt>
    <w:p w14:paraId="693182DD">
      <w:pPr>
        <w:spacing w:before="240" w:beforeLines="100" w:after="240" w:afterLines="100" w:line="276" w:lineRule="auto"/>
        <w:jc w:val="center"/>
        <w:outlineLvl w:val="0"/>
        <w:rPr>
          <w:rFonts w:ascii="Cambria" w:hAnsi="Cambria" w:cs="Cambria"/>
          <w:b/>
          <w:bCs/>
          <w:sz w:val="32"/>
          <w:szCs w:val="32"/>
        </w:rPr>
      </w:pPr>
      <w:bookmarkStart w:id="365" w:name="_Toc216"/>
      <w:r>
        <w:rPr>
          <w:rFonts w:ascii="Cambria" w:hAnsi="Cambria" w:cs="Cambria"/>
          <w:b/>
          <w:bCs/>
          <w:sz w:val="32"/>
          <w:szCs w:val="32"/>
        </w:rPr>
        <w:t>Foreword</w:t>
      </w:r>
      <w:bookmarkEnd w:id="365"/>
    </w:p>
    <w:p w14:paraId="00CA886F">
      <w:pPr>
        <w:pStyle w:val="41"/>
        <w:spacing w:line="276" w:lineRule="auto"/>
        <w:rPr>
          <w:rFonts w:ascii="Cambria" w:hAnsi="Cambria" w:cs="Cambria"/>
          <w:sz w:val="24"/>
          <w:szCs w:val="24"/>
        </w:rPr>
      </w:pPr>
      <w:r>
        <w:rPr>
          <w:rFonts w:ascii="Cambria" w:hAnsi="Cambria" w:cs="Cambria"/>
          <w:sz w:val="24"/>
          <w:szCs w:val="24"/>
        </w:rPr>
        <w:t>This document is Part 1 of International standardized manipulations of Chinese medicine — Pediatrics. The following parts of International standardized manipulations of Chinese medicine — Pediatrics have been published:</w:t>
      </w:r>
    </w:p>
    <w:p w14:paraId="449F9C78">
      <w:pPr>
        <w:pStyle w:val="41"/>
        <w:spacing w:line="276" w:lineRule="auto"/>
        <w:rPr>
          <w:rFonts w:ascii="Cambria" w:hAnsi="Cambria" w:cs="Cambria"/>
          <w:sz w:val="24"/>
          <w:szCs w:val="24"/>
        </w:rPr>
      </w:pPr>
      <w:r>
        <w:rPr>
          <w:rFonts w:ascii="Cambria" w:hAnsi="Cambria" w:cs="Cambria"/>
          <w:sz w:val="24"/>
          <w:szCs w:val="24"/>
        </w:rPr>
        <w:t xml:space="preserve">——Part 1: Internal treatments </w:t>
      </w:r>
    </w:p>
    <w:p w14:paraId="1A681D26">
      <w:pPr>
        <w:pStyle w:val="41"/>
        <w:spacing w:line="276" w:lineRule="auto"/>
        <w:rPr>
          <w:rFonts w:ascii="Cambria" w:hAnsi="Cambria" w:cs="Cambria"/>
          <w:sz w:val="24"/>
          <w:szCs w:val="24"/>
        </w:rPr>
      </w:pPr>
      <w:r>
        <w:rPr>
          <w:rFonts w:ascii="Cambria" w:hAnsi="Cambria" w:cs="Cambria"/>
          <w:sz w:val="24"/>
          <w:szCs w:val="24"/>
        </w:rPr>
        <w:t>——Part 2: Commonly used external treatments</w:t>
      </w:r>
    </w:p>
    <w:p w14:paraId="70CE5736">
      <w:pPr>
        <w:pStyle w:val="41"/>
        <w:spacing w:line="276" w:lineRule="auto"/>
        <w:rPr>
          <w:rFonts w:ascii="Cambria" w:hAnsi="Cambria" w:cs="Cambria"/>
          <w:sz w:val="24"/>
          <w:szCs w:val="24"/>
        </w:rPr>
      </w:pPr>
      <w:r>
        <w:rPr>
          <w:rFonts w:ascii="Cambria" w:hAnsi="Cambria" w:cs="Cambria"/>
          <w:sz w:val="24"/>
          <w:szCs w:val="24"/>
        </w:rPr>
        <w:t>——Part 3: Acupuncture and moxibustion therapies</w:t>
      </w:r>
    </w:p>
    <w:p w14:paraId="5BA9E7F2">
      <w:pPr>
        <w:pStyle w:val="41"/>
        <w:spacing w:line="276" w:lineRule="auto"/>
        <w:rPr>
          <w:rFonts w:ascii="Cambria" w:hAnsi="Cambria" w:cs="Cambria"/>
          <w:sz w:val="24"/>
          <w:szCs w:val="24"/>
        </w:rPr>
      </w:pPr>
      <w:r>
        <w:rPr>
          <w:rFonts w:ascii="Cambria" w:hAnsi="Cambria" w:cs="Cambria"/>
          <w:sz w:val="24"/>
          <w:szCs w:val="24"/>
        </w:rPr>
        <w:t xml:space="preserve">——Part 4: Tuina therapy </w:t>
      </w:r>
    </w:p>
    <w:p w14:paraId="0B29F506">
      <w:pPr>
        <w:pStyle w:val="41"/>
        <w:spacing w:line="276" w:lineRule="auto"/>
        <w:rPr>
          <w:rFonts w:ascii="Cambria" w:hAnsi="Cambria" w:cs="Cambria"/>
          <w:sz w:val="24"/>
          <w:szCs w:val="24"/>
        </w:rPr>
      </w:pPr>
      <w:r>
        <w:rPr>
          <w:rFonts w:ascii="Cambria" w:hAnsi="Cambria" w:cs="Cambria"/>
          <w:sz w:val="24"/>
          <w:szCs w:val="24"/>
        </w:rPr>
        <w:t>——Part 5: Cupping therapy</w:t>
      </w:r>
    </w:p>
    <w:p w14:paraId="088C84A6">
      <w:pPr>
        <w:spacing w:line="276" w:lineRule="auto"/>
        <w:ind w:firstLine="960" w:firstLineChars="400"/>
        <w:rPr>
          <w:rFonts w:ascii="Cambria" w:hAnsi="Cambria" w:cs="Cambria"/>
          <w:sz w:val="24"/>
          <w:szCs w:val="24"/>
        </w:rPr>
      </w:pPr>
      <w:r>
        <w:rPr>
          <w:rFonts w:ascii="Cambria" w:hAnsi="Cambria" w:cs="Cambria"/>
          <w:sz w:val="24"/>
          <w:szCs w:val="24"/>
        </w:rPr>
        <w:t>This document does not replace or withdraw any existing document.</w:t>
      </w:r>
    </w:p>
    <w:p w14:paraId="7E89F15F">
      <w:pPr>
        <w:spacing w:line="276" w:lineRule="auto"/>
        <w:ind w:firstLine="960" w:firstLineChars="400"/>
        <w:rPr>
          <w:rFonts w:ascii="Cambria" w:hAnsi="Cambria" w:cs="Cambria"/>
          <w:sz w:val="24"/>
          <w:szCs w:val="24"/>
        </w:rPr>
      </w:pPr>
      <w:r>
        <w:rPr>
          <w:rFonts w:ascii="Cambria" w:hAnsi="Cambria" w:cs="Cambria"/>
          <w:sz w:val="24"/>
          <w:szCs w:val="24"/>
        </w:rPr>
        <w:t>This document was developed by adapting GB/Z 40893.1—2021, Technical operation specifications of traditional Chinese medicine Pediatrics Part 1: Internal treatments, a national guiding technical document of the People’s Republic of China.</w:t>
      </w:r>
    </w:p>
    <w:p w14:paraId="7FE83AF2">
      <w:pPr>
        <w:spacing w:line="276" w:lineRule="auto"/>
        <w:ind w:firstLine="960" w:firstLineChars="400"/>
        <w:rPr>
          <w:rFonts w:ascii="Cambria" w:hAnsi="Cambria" w:cs="Cambria"/>
          <w:sz w:val="24"/>
          <w:szCs w:val="24"/>
        </w:rPr>
      </w:pPr>
      <w:r>
        <w:rPr>
          <w:rFonts w:ascii="Cambria" w:hAnsi="Cambria" w:cs="Cambria"/>
          <w:sz w:val="24"/>
          <w:szCs w:val="24"/>
        </w:rPr>
        <w:t>Attention is drawn to the possibility that some elements of this document may be the subject of patent rights. The issuing organization shall not be held responsible for identifying any or all such patent rights.</w:t>
      </w:r>
    </w:p>
    <w:p w14:paraId="73E89B30">
      <w:pPr>
        <w:spacing w:line="276" w:lineRule="auto"/>
        <w:ind w:firstLine="960" w:firstLineChars="400"/>
        <w:rPr>
          <w:rFonts w:ascii="Cambria" w:hAnsi="Cambria" w:cs="Cambria"/>
          <w:sz w:val="24"/>
          <w:szCs w:val="24"/>
        </w:rPr>
      </w:pPr>
      <w:r>
        <w:rPr>
          <w:rFonts w:ascii="Cambria" w:hAnsi="Cambria" w:cs="Cambria"/>
          <w:sz w:val="24"/>
          <w:szCs w:val="24"/>
        </w:rPr>
        <w:t>Main drafting organization: The Affiliated Hospital of Nanjing University of Chinese Medicine.</w:t>
      </w:r>
    </w:p>
    <w:p w14:paraId="52927CBC">
      <w:pPr>
        <w:spacing w:line="276" w:lineRule="auto"/>
        <w:ind w:firstLine="960" w:firstLineChars="400"/>
        <w:rPr>
          <w:rFonts w:ascii="Cambria" w:hAnsi="Cambria" w:cs="Cambria"/>
          <w:sz w:val="24"/>
          <w:szCs w:val="24"/>
        </w:rPr>
      </w:pPr>
      <w:r>
        <w:rPr>
          <w:rFonts w:ascii="Cambria" w:hAnsi="Cambria" w:cs="Cambria"/>
          <w:sz w:val="24"/>
          <w:szCs w:val="24"/>
        </w:rPr>
        <w:t>Participating drafting organizations: Wuxi Hospital of Traditional Chinese Medicine; Nanjing Pukou District Hospital of Traditional Chinese Medicine; The Institute of Chinese Medical Studies, Singapore; Johor Chinese Charity TCM Hospital, Malaysia; Endeavour College of Natural Health, Australia; Xiamen Chang Gung Hospital.</w:t>
      </w:r>
    </w:p>
    <w:p w14:paraId="0F4FB02C">
      <w:pPr>
        <w:spacing w:line="276" w:lineRule="auto"/>
        <w:ind w:firstLine="960" w:firstLineChars="400"/>
        <w:rPr>
          <w:rFonts w:ascii="Cambria" w:hAnsi="Cambria" w:cs="Cambria"/>
          <w:sz w:val="24"/>
          <w:szCs w:val="24"/>
        </w:rPr>
      </w:pPr>
      <w:r>
        <w:rPr>
          <w:rFonts w:ascii="Cambria" w:hAnsi="Cambria" w:cs="Cambria"/>
          <w:sz w:val="24"/>
          <w:szCs w:val="24"/>
        </w:rPr>
        <w:t>Main drafters:</w:t>
      </w:r>
    </w:p>
    <w:p w14:paraId="7BA6AE4D">
      <w:pPr>
        <w:spacing w:line="276" w:lineRule="auto"/>
        <w:ind w:firstLine="960" w:firstLineChars="400"/>
        <w:rPr>
          <w:rFonts w:ascii="Cambria" w:hAnsi="Cambria" w:cs="Cambria"/>
          <w:sz w:val="24"/>
          <w:szCs w:val="24"/>
        </w:rPr>
      </w:pPr>
      <w:r>
        <w:rPr>
          <w:rFonts w:ascii="Cambria" w:hAnsi="Cambria" w:cs="Cambria"/>
          <w:sz w:val="24"/>
          <w:szCs w:val="24"/>
        </w:rPr>
        <w:t>China: Wang Shouchuan, Zhang Mengyao, Wang Lei, Lin Lili, Li Tao, Gao Lanying, Zhang Yating (Taiwan, China)</w:t>
      </w:r>
    </w:p>
    <w:p w14:paraId="0A41F8F7">
      <w:pPr>
        <w:spacing w:line="276" w:lineRule="auto"/>
        <w:ind w:firstLine="960" w:firstLineChars="400"/>
        <w:rPr>
          <w:rFonts w:ascii="Cambria" w:hAnsi="Cambria" w:cs="Cambria"/>
          <w:sz w:val="24"/>
          <w:szCs w:val="24"/>
        </w:rPr>
      </w:pPr>
      <w:r>
        <w:rPr>
          <w:rFonts w:ascii="Cambria" w:hAnsi="Cambria" w:cs="Cambria"/>
          <w:sz w:val="24"/>
          <w:szCs w:val="24"/>
        </w:rPr>
        <w:t>Singapore: Wu Jiasheng</w:t>
      </w:r>
    </w:p>
    <w:p w14:paraId="27DB8E4C">
      <w:pPr>
        <w:spacing w:line="276" w:lineRule="auto"/>
        <w:ind w:firstLine="960" w:firstLineChars="400"/>
        <w:rPr>
          <w:rFonts w:ascii="Cambria" w:hAnsi="Cambria" w:cs="Cambria"/>
          <w:sz w:val="24"/>
          <w:szCs w:val="24"/>
        </w:rPr>
      </w:pPr>
      <w:r>
        <w:rPr>
          <w:rFonts w:ascii="Cambria" w:hAnsi="Cambria" w:cs="Cambria"/>
          <w:sz w:val="24"/>
          <w:szCs w:val="24"/>
        </w:rPr>
        <w:t>Malaysia: Lin Wenxian</w:t>
      </w:r>
    </w:p>
    <w:p w14:paraId="5F302B99">
      <w:pPr>
        <w:spacing w:line="276" w:lineRule="auto"/>
        <w:ind w:firstLine="960" w:firstLineChars="400"/>
        <w:rPr>
          <w:rFonts w:ascii="Cambria" w:hAnsi="Cambria" w:cs="Cambria"/>
          <w:sz w:val="24"/>
          <w:szCs w:val="24"/>
        </w:rPr>
      </w:pPr>
      <w:r>
        <w:rPr>
          <w:rFonts w:ascii="Cambria" w:hAnsi="Cambria" w:cs="Cambria"/>
          <w:sz w:val="24"/>
          <w:szCs w:val="24"/>
        </w:rPr>
        <w:t>Australia: Qiao Mulin</w:t>
      </w:r>
    </w:p>
    <w:p w14:paraId="2976208E">
      <w:pPr>
        <w:spacing w:line="276" w:lineRule="auto"/>
        <w:ind w:firstLine="960" w:firstLineChars="400"/>
        <w:rPr>
          <w:rFonts w:ascii="Cambria" w:hAnsi="Cambria" w:cs="Cambria"/>
          <w:sz w:val="24"/>
          <w:szCs w:val="24"/>
        </w:rPr>
      </w:pPr>
      <w:r>
        <w:rPr>
          <w:rFonts w:ascii="Cambria" w:hAnsi="Cambria" w:cs="Cambria"/>
          <w:sz w:val="24"/>
          <w:szCs w:val="24"/>
        </w:rPr>
        <w:t>United States of America: Min Kaijia</w:t>
      </w:r>
    </w:p>
    <w:p w14:paraId="1A048D21">
      <w:pPr>
        <w:spacing w:line="276" w:lineRule="auto"/>
        <w:ind w:firstLine="960" w:firstLineChars="400"/>
        <w:rPr>
          <w:rFonts w:ascii="Cambria" w:hAnsi="Cambria" w:cs="Cambria"/>
          <w:sz w:val="24"/>
          <w:szCs w:val="24"/>
        </w:rPr>
      </w:pPr>
    </w:p>
    <w:p w14:paraId="25676238">
      <w:pPr>
        <w:spacing w:line="276" w:lineRule="auto"/>
        <w:ind w:firstLine="960" w:firstLineChars="400"/>
        <w:rPr>
          <w:rFonts w:ascii="Cambria" w:hAnsi="Cambria" w:cs="Cambria"/>
          <w:sz w:val="24"/>
          <w:szCs w:val="24"/>
        </w:rPr>
      </w:pPr>
      <w:r>
        <w:rPr>
          <w:rFonts w:ascii="Cambria" w:hAnsi="Cambria" w:cs="Cambria"/>
          <w:sz w:val="24"/>
          <w:szCs w:val="24"/>
        </w:rPr>
        <w:t>The drafting procedure of this document complied with SCM1.1—2021 Directives for Standardization — Part 1: Development, Revision and Publication of Standards, issued by the World Federation of Chinese Medicine Societies.</w:t>
      </w:r>
    </w:p>
    <w:p w14:paraId="6552199A">
      <w:pPr>
        <w:spacing w:line="276" w:lineRule="auto"/>
        <w:ind w:firstLine="960" w:firstLineChars="400"/>
        <w:rPr>
          <w:rFonts w:ascii="Cambria" w:hAnsi="Cambria" w:cs="Cambria"/>
          <w:sz w:val="24"/>
          <w:szCs w:val="24"/>
        </w:rPr>
      </w:pPr>
      <w:r>
        <w:rPr>
          <w:rFonts w:ascii="Cambria" w:hAnsi="Cambria" w:cs="Cambria"/>
          <w:sz w:val="24"/>
          <w:szCs w:val="24"/>
        </w:rPr>
        <w:t>This document was translated by ***. In case of any discrepancy, the Chinese text shall prevail.</w:t>
      </w:r>
    </w:p>
    <w:p w14:paraId="6C9902BB">
      <w:pPr>
        <w:spacing w:line="276" w:lineRule="auto"/>
        <w:ind w:firstLine="960" w:firstLineChars="400"/>
        <w:rPr>
          <w:rFonts w:ascii="Cambria" w:hAnsi="Cambria" w:cs="Cambria"/>
          <w:sz w:val="24"/>
          <w:szCs w:val="24"/>
        </w:rPr>
      </w:pPr>
      <w:r>
        <w:rPr>
          <w:rFonts w:ascii="Cambria" w:hAnsi="Cambria" w:cs="Cambria"/>
          <w:sz w:val="24"/>
          <w:szCs w:val="24"/>
        </w:rPr>
        <w:t>This document is published by the World Federation of Chinese Medicine Societies, and its copyright is owned by the World Federation of Chinese Medicine Societies.</w:t>
      </w:r>
    </w:p>
    <w:p w14:paraId="0279AE24">
      <w:pPr>
        <w:spacing w:line="276" w:lineRule="auto"/>
        <w:jc w:val="center"/>
        <w:outlineLvl w:val="0"/>
        <w:rPr>
          <w:rFonts w:ascii="Cambria" w:hAnsi="Cambria" w:eastAsia="黑体" w:cs="Cambria"/>
          <w:sz w:val="24"/>
          <w:szCs w:val="24"/>
        </w:rPr>
        <w:sectPr>
          <w:footerReference r:id="rId7" w:type="default"/>
          <w:pgSz w:w="12240" w:h="15840"/>
          <w:pgMar w:top="1440" w:right="1800" w:bottom="1440" w:left="1800" w:header="720" w:footer="720" w:gutter="0"/>
          <w:pgNumType w:fmt="decimal" w:start="1"/>
          <w:cols w:space="720" w:num="1"/>
          <w:docGrid w:linePitch="286" w:charSpace="0"/>
        </w:sectPr>
      </w:pPr>
    </w:p>
    <w:p w14:paraId="3F6026CE">
      <w:pPr>
        <w:spacing w:before="287" w:beforeLines="100" w:after="287" w:afterLines="100" w:line="276" w:lineRule="auto"/>
        <w:jc w:val="center"/>
        <w:outlineLvl w:val="0"/>
        <w:rPr>
          <w:rFonts w:ascii="Cambria" w:hAnsi="Cambria" w:eastAsia="黑体" w:cs="Cambria"/>
          <w:b/>
          <w:bCs/>
          <w:sz w:val="32"/>
          <w:szCs w:val="32"/>
        </w:rPr>
      </w:pPr>
      <w:bookmarkStart w:id="366" w:name="_Toc10715"/>
      <w:r>
        <w:rPr>
          <w:rFonts w:ascii="Cambria" w:hAnsi="Cambria" w:eastAsia="黑体" w:cs="Cambria"/>
          <w:b/>
          <w:bCs/>
          <w:sz w:val="32"/>
          <w:szCs w:val="32"/>
        </w:rPr>
        <w:t>Introduction</w:t>
      </w:r>
      <w:bookmarkEnd w:id="366"/>
    </w:p>
    <w:p w14:paraId="6E466943">
      <w:pPr>
        <w:pStyle w:val="41"/>
        <w:spacing w:line="276" w:lineRule="auto"/>
        <w:rPr>
          <w:rFonts w:ascii="Cambria" w:hAnsi="Cambria" w:cs="Cambria"/>
          <w:sz w:val="24"/>
          <w:szCs w:val="24"/>
        </w:rPr>
      </w:pPr>
      <w:r>
        <w:rPr>
          <w:rFonts w:ascii="Cambria" w:hAnsi="Cambria" w:cs="Cambria"/>
          <w:sz w:val="24"/>
          <w:szCs w:val="24"/>
        </w:rPr>
        <w:t>With the increasing recognition of traditional Chinese medicine worldwide, TCM pediatrics, as an important component of the TCM system, has an increasingly urgent need for international standardization. Technical operations in TCM pediatrics cover a wide range of content. After multiple rounds of demonstration and discussion, therapeutic operation techniques that are characteristic of TCM and commonly used in pediatrics were selected for initial development, and were divided into five parts according to the forms and characteristics of the technical operations. The technical content is extensive and generally applicable in the academic field of TCM pediatrics. It is of significant value in meeting the urgent needs of TCM pediatric practitioners worldwide for clinical learning and application, and in promoting the standardization of clinical technical operations in TCM pediatrics worldwide.</w:t>
      </w:r>
    </w:p>
    <w:p w14:paraId="56BE6184">
      <w:pPr>
        <w:pStyle w:val="41"/>
        <w:spacing w:line="276" w:lineRule="auto"/>
        <w:rPr>
          <w:rFonts w:ascii="Cambria" w:hAnsi="Cambria" w:cs="Cambria"/>
          <w:sz w:val="24"/>
          <w:szCs w:val="24"/>
        </w:rPr>
      </w:pPr>
      <w:r>
        <w:rPr>
          <w:rFonts w:ascii="Cambria" w:hAnsi="Cambria" w:cs="Cambria"/>
          <w:sz w:val="24"/>
          <w:szCs w:val="24"/>
        </w:rPr>
        <w:t>The series International standardized manipulations of Chinese medicine — Pediatrics includes technical methods commonly used in clinical TCM pediatrics. These methods are important means for treating pediatric diseases and improving therapeutic efficacy, and include the following five parts:</w:t>
      </w:r>
    </w:p>
    <w:p w14:paraId="6174F0F0">
      <w:pPr>
        <w:pStyle w:val="41"/>
        <w:spacing w:line="276" w:lineRule="auto"/>
        <w:rPr>
          <w:rFonts w:ascii="Cambria" w:hAnsi="Cambria" w:cs="Cambria"/>
          <w:sz w:val="24"/>
          <w:szCs w:val="24"/>
        </w:rPr>
      </w:pPr>
      <w:r>
        <w:rPr>
          <w:rFonts w:ascii="Cambria" w:hAnsi="Cambria" w:cs="Cambria"/>
          <w:sz w:val="24"/>
          <w:szCs w:val="24"/>
        </w:rPr>
        <w:t>——Part 1: Internal treatments</w:t>
      </w:r>
    </w:p>
    <w:p w14:paraId="42C9AE8E">
      <w:pPr>
        <w:pStyle w:val="41"/>
        <w:spacing w:line="276" w:lineRule="auto"/>
        <w:rPr>
          <w:rFonts w:ascii="Cambria" w:hAnsi="Cambria" w:cs="Cambria"/>
          <w:sz w:val="24"/>
          <w:szCs w:val="24"/>
        </w:rPr>
      </w:pPr>
      <w:r>
        <w:rPr>
          <w:rFonts w:ascii="Cambria" w:hAnsi="Cambria" w:cs="Cambria"/>
          <w:sz w:val="24"/>
          <w:szCs w:val="24"/>
        </w:rPr>
        <w:t>——Part 2: Commonly used external treatments</w:t>
      </w:r>
    </w:p>
    <w:p w14:paraId="7CF17CFF">
      <w:pPr>
        <w:pStyle w:val="41"/>
        <w:spacing w:line="276" w:lineRule="auto"/>
        <w:rPr>
          <w:rFonts w:ascii="Cambria" w:hAnsi="Cambria" w:cs="Cambria"/>
          <w:sz w:val="24"/>
          <w:szCs w:val="24"/>
        </w:rPr>
      </w:pPr>
      <w:r>
        <w:rPr>
          <w:rFonts w:ascii="Cambria" w:hAnsi="Cambria" w:cs="Cambria"/>
          <w:sz w:val="24"/>
          <w:szCs w:val="24"/>
        </w:rPr>
        <w:t>——Part 3: Acupuncture and moxibustion therapies</w:t>
      </w:r>
    </w:p>
    <w:p w14:paraId="5AC77C06">
      <w:pPr>
        <w:pStyle w:val="41"/>
        <w:spacing w:line="276" w:lineRule="auto"/>
        <w:rPr>
          <w:rFonts w:ascii="Cambria" w:hAnsi="Cambria" w:cs="Cambria"/>
          <w:sz w:val="24"/>
          <w:szCs w:val="24"/>
        </w:rPr>
      </w:pPr>
      <w:r>
        <w:rPr>
          <w:rFonts w:ascii="Cambria" w:hAnsi="Cambria" w:cs="Cambria"/>
          <w:sz w:val="24"/>
          <w:szCs w:val="24"/>
        </w:rPr>
        <w:t xml:space="preserve">——Part 4: Tuina therapy </w:t>
      </w:r>
    </w:p>
    <w:p w14:paraId="18964839">
      <w:pPr>
        <w:pStyle w:val="41"/>
        <w:spacing w:line="276" w:lineRule="auto"/>
        <w:rPr>
          <w:rFonts w:ascii="Cambria" w:hAnsi="Cambria" w:cs="Cambria"/>
          <w:sz w:val="24"/>
          <w:szCs w:val="24"/>
        </w:rPr>
      </w:pPr>
      <w:r>
        <w:rPr>
          <w:rFonts w:ascii="Cambria" w:hAnsi="Cambria" w:cs="Cambria"/>
          <w:sz w:val="24"/>
          <w:szCs w:val="24"/>
        </w:rPr>
        <w:t>——Part 5: Cupping therapy</w:t>
      </w:r>
    </w:p>
    <w:p w14:paraId="69A9B625">
      <w:pPr>
        <w:spacing w:line="276" w:lineRule="auto"/>
        <w:ind w:firstLine="480" w:firstLineChars="200"/>
        <w:rPr>
          <w:rFonts w:ascii="Cambria" w:hAnsi="Cambria" w:cs="Cambria"/>
          <w:sz w:val="24"/>
          <w:szCs w:val="24"/>
        </w:rPr>
      </w:pPr>
      <w:r>
        <w:rPr>
          <w:rFonts w:ascii="Cambria" w:hAnsi="Cambria" w:cs="Cambria"/>
          <w:sz w:val="24"/>
          <w:szCs w:val="24"/>
        </w:rPr>
        <w:t>Methods of internal administration for children refer to therapeutic administration methods by which medicines enter the body through body orifices or passages. Techniques for internal administration in TCM pediatrics mainly include oral administration of Chinese medicine decoctions, oral administration of Chinese patent medicines, nasogastric gavage administration of Chinese medicines, and rectal administration of Chinese medicines. Due to the particular characteristics of children, such as difficulty in taking medicines and poor adherence, correct methods of decocting medicines, methods of administering medicines, and multi-route administration are important links in improving the adherence, effectiveness and safety of TCM pediatric treatment.</w:t>
      </w:r>
    </w:p>
    <w:p w14:paraId="70570478">
      <w:pPr>
        <w:spacing w:line="276" w:lineRule="auto"/>
        <w:ind w:firstLine="480" w:firstLineChars="200"/>
        <w:rPr>
          <w:rFonts w:ascii="Cambria" w:hAnsi="Cambria" w:cs="Cambria"/>
          <w:sz w:val="24"/>
          <w:szCs w:val="24"/>
        </w:rPr>
      </w:pPr>
      <w:r>
        <w:rPr>
          <w:rFonts w:ascii="Cambria" w:hAnsi="Cambria" w:cs="Cambria"/>
          <w:sz w:val="24"/>
          <w:szCs w:val="24"/>
        </w:rPr>
        <w:t>This document was developed on the basis of a full collection and organization of the experience of TCM experts from ancient and modern times, in combination with current clinical practice in TCM pediatrics, and with opinions solicited from renowned experts in the field at home and abroad. It is expected to be revised, supplemented and regularly updated in line with advances in clinical application and scientific research.</w:t>
      </w:r>
    </w:p>
    <w:p w14:paraId="0F23544E">
      <w:pPr>
        <w:spacing w:line="276" w:lineRule="auto"/>
        <w:ind w:firstLine="480" w:firstLineChars="200"/>
        <w:rPr>
          <w:rFonts w:ascii="Cambria" w:hAnsi="Cambria" w:cs="Cambria"/>
          <w:sz w:val="24"/>
          <w:szCs w:val="24"/>
        </w:rPr>
      </w:pPr>
      <w:r>
        <w:rPr>
          <w:rFonts w:ascii="Cambria" w:hAnsi="Cambria" w:cs="Cambria"/>
          <w:sz w:val="24"/>
          <w:szCs w:val="24"/>
        </w:rPr>
        <w:t xml:space="preserve">[Important </w:t>
      </w:r>
      <w:r>
        <w:rPr>
          <w:rFonts w:hint="default" w:ascii="Cambria" w:hAnsi="Cambria" w:cs="Cambria"/>
          <w:sz w:val="24"/>
          <w:szCs w:val="24"/>
        </w:rPr>
        <w:t>S</w:t>
      </w:r>
      <w:r>
        <w:rPr>
          <w:rFonts w:ascii="Cambria" w:hAnsi="Cambria" w:cs="Cambria"/>
          <w:sz w:val="24"/>
          <w:szCs w:val="24"/>
        </w:rPr>
        <w:t>tatement] For invasive operations such as nasogastric gavage and rectal administration covered in this document, practitioners shall comply with the laws and regulations, as well as the requirements for scope of practice, of the country or region where they practise.</w:t>
      </w:r>
    </w:p>
    <w:p w14:paraId="2657ECD5">
      <w:pPr>
        <w:spacing w:line="276" w:lineRule="auto"/>
        <w:rPr>
          <w:rFonts w:ascii="Cambria" w:hAnsi="Cambria" w:cs="Cambria"/>
          <w:sz w:val="24"/>
          <w:szCs w:val="24"/>
        </w:rPr>
      </w:pPr>
    </w:p>
    <w:p w14:paraId="20F4B508">
      <w:pPr>
        <w:spacing w:line="276" w:lineRule="auto"/>
        <w:rPr>
          <w:rFonts w:ascii="Cambria" w:hAnsi="Cambria" w:cs="Cambria"/>
          <w:sz w:val="24"/>
          <w:szCs w:val="24"/>
        </w:rPr>
      </w:pPr>
    </w:p>
    <w:p w14:paraId="43590650">
      <w:pPr>
        <w:spacing w:line="276" w:lineRule="auto"/>
        <w:rPr>
          <w:rFonts w:ascii="Cambria" w:hAnsi="Cambria" w:cs="Cambria"/>
          <w:sz w:val="24"/>
          <w:szCs w:val="24"/>
        </w:rPr>
      </w:pPr>
    </w:p>
    <w:p w14:paraId="52AFBDD2">
      <w:pPr>
        <w:spacing w:line="276" w:lineRule="auto"/>
        <w:rPr>
          <w:rFonts w:ascii="Cambria" w:hAnsi="Cambria" w:cs="Cambria"/>
          <w:sz w:val="24"/>
          <w:szCs w:val="24"/>
        </w:rPr>
        <w:sectPr>
          <w:pgSz w:w="12240" w:h="15840"/>
          <w:pgMar w:top="1440" w:right="1800" w:bottom="1440" w:left="1800" w:header="720" w:footer="720" w:gutter="0"/>
          <w:pgNumType w:fmt="decimal"/>
          <w:cols w:space="720" w:num="1"/>
          <w:docGrid w:linePitch="286" w:charSpace="0"/>
        </w:sectPr>
      </w:pPr>
    </w:p>
    <w:p w14:paraId="30CA7B02">
      <w:pPr>
        <w:spacing w:line="276" w:lineRule="auto"/>
        <w:jc w:val="center"/>
        <w:rPr>
          <w:rFonts w:ascii="Cambria" w:hAnsi="Cambria" w:eastAsia="黑体" w:cs="Cambria"/>
          <w:b/>
          <w:bCs/>
          <w:color w:val="0C1F0E"/>
          <w:sz w:val="24"/>
          <w:szCs w:val="24"/>
        </w:rPr>
      </w:pPr>
      <w:r>
        <w:rPr>
          <w:rFonts w:ascii="Cambria" w:hAnsi="Cambria" w:eastAsia="黑体" w:cs="Cambria"/>
          <w:b/>
          <w:bCs/>
          <w:color w:val="0C1F0E"/>
          <w:sz w:val="24"/>
          <w:szCs w:val="24"/>
        </w:rPr>
        <w:t xml:space="preserve">International standardized manipulations of Chinese medicine Pediatrics </w:t>
      </w:r>
    </w:p>
    <w:p w14:paraId="07406C1B">
      <w:pPr>
        <w:spacing w:line="276" w:lineRule="auto"/>
        <w:jc w:val="center"/>
        <w:rPr>
          <w:rFonts w:ascii="Cambria" w:hAnsi="Cambria" w:eastAsia="黑体" w:cs="Cambria"/>
          <w:b/>
          <w:bCs/>
          <w:color w:val="0C1F0E"/>
          <w:sz w:val="24"/>
          <w:szCs w:val="24"/>
        </w:rPr>
      </w:pPr>
      <w:r>
        <w:rPr>
          <w:rFonts w:ascii="Cambria" w:hAnsi="Cambria" w:eastAsia="黑体" w:cs="Cambria"/>
          <w:b/>
          <w:bCs/>
          <w:color w:val="0C1F0E"/>
          <w:sz w:val="24"/>
          <w:szCs w:val="24"/>
        </w:rPr>
        <w:t>Part 1</w:t>
      </w:r>
      <w:r>
        <w:rPr>
          <w:rFonts w:hint="default" w:ascii="Cambria" w:hAnsi="Cambria" w:eastAsia="黑体" w:cs="Cambria"/>
          <w:b/>
          <w:bCs/>
          <w:color w:val="0C1F0E"/>
          <w:sz w:val="24"/>
          <w:szCs w:val="24"/>
        </w:rPr>
        <w:t>：</w:t>
      </w:r>
      <w:r>
        <w:rPr>
          <w:rFonts w:ascii="Cambria" w:hAnsi="Cambria" w:eastAsia="黑体" w:cs="Cambria"/>
          <w:b/>
          <w:bCs/>
          <w:color w:val="0C1F0E"/>
          <w:sz w:val="24"/>
          <w:szCs w:val="24"/>
        </w:rPr>
        <w:t>Internal treatments</w:t>
      </w:r>
    </w:p>
    <w:p w14:paraId="1E68DA2D">
      <w:pPr>
        <w:spacing w:before="312" w:beforeLines="100" w:after="312" w:afterLines="100" w:line="276" w:lineRule="auto"/>
        <w:outlineLvl w:val="0"/>
        <w:rPr>
          <w:rFonts w:ascii="Cambria" w:hAnsi="Cambria" w:cs="Cambria"/>
          <w:b/>
          <w:bCs/>
          <w:sz w:val="24"/>
          <w:szCs w:val="24"/>
        </w:rPr>
      </w:pPr>
      <w:bookmarkStart w:id="367" w:name="_Toc21246"/>
      <w:r>
        <w:rPr>
          <w:rFonts w:ascii="Cambria" w:hAnsi="Cambria" w:cs="Cambria"/>
          <w:b/>
          <w:bCs/>
          <w:sz w:val="24"/>
          <w:szCs w:val="24"/>
        </w:rPr>
        <w:t>1 Scope</w:t>
      </w:r>
      <w:bookmarkEnd w:id="367"/>
    </w:p>
    <w:p w14:paraId="1449E78E">
      <w:pPr>
        <w:spacing w:line="276" w:lineRule="auto"/>
        <w:ind w:firstLine="420"/>
        <w:rPr>
          <w:rFonts w:ascii="Cambria" w:hAnsi="Cambria" w:cs="Cambria"/>
          <w:sz w:val="24"/>
          <w:szCs w:val="24"/>
        </w:rPr>
      </w:pPr>
      <w:r>
        <w:rPr>
          <w:rFonts w:ascii="Cambria" w:hAnsi="Cambria" w:cs="Cambria"/>
          <w:sz w:val="24"/>
          <w:szCs w:val="24"/>
        </w:rPr>
        <w:t>This document specifies the operating procedures and requirements for oral administration of Chinese medicine decoctions, oral administration of Chinese patent medicines, nasogastric gavage administration of Chinese medicines, and rectal administration of Chinese medicines in pediatrics, and provides the precautions and contraindications.</w:t>
      </w:r>
    </w:p>
    <w:p w14:paraId="14DF26D8">
      <w:pPr>
        <w:spacing w:line="276" w:lineRule="auto"/>
        <w:ind w:firstLine="420"/>
        <w:rPr>
          <w:rFonts w:ascii="Cambria" w:hAnsi="Cambria" w:cs="Cambria"/>
          <w:sz w:val="24"/>
          <w:szCs w:val="24"/>
        </w:rPr>
      </w:pPr>
      <w:r>
        <w:rPr>
          <w:rFonts w:ascii="Cambria" w:hAnsi="Cambria" w:cs="Cambria"/>
          <w:sz w:val="24"/>
          <w:szCs w:val="24"/>
        </w:rPr>
        <w:t>This document applies to TCM healthcare, health statistics, TCM medical record management</w:t>
      </w:r>
      <w:r>
        <w:rPr>
          <w:rFonts w:hint="default" w:ascii="Cambria" w:hAnsi="Cambria" w:cs="Cambria"/>
          <w:sz w:val="24"/>
          <w:szCs w:val="24"/>
        </w:rPr>
        <w:t>，</w:t>
      </w:r>
      <w:r>
        <w:rPr>
          <w:rFonts w:ascii="Cambria" w:hAnsi="Cambria" w:cs="Cambria"/>
          <w:sz w:val="24"/>
          <w:szCs w:val="24"/>
        </w:rPr>
        <w:t xml:space="preserve"> assessment of clinical medical quality in TCM, scientific research, teaching, academic exchange and related fields in all countries.</w:t>
      </w:r>
    </w:p>
    <w:p w14:paraId="2E8D7207">
      <w:pPr>
        <w:spacing w:before="312" w:beforeLines="100" w:after="312" w:afterLines="100" w:line="276" w:lineRule="auto"/>
        <w:outlineLvl w:val="0"/>
        <w:rPr>
          <w:rFonts w:ascii="Cambria" w:hAnsi="Cambria" w:eastAsia="黑体" w:cs="Cambria"/>
          <w:b/>
          <w:bCs/>
          <w:sz w:val="24"/>
          <w:szCs w:val="24"/>
          <w:highlight w:val="none"/>
        </w:rPr>
      </w:pPr>
      <w:bookmarkStart w:id="368" w:name="_Toc14975"/>
      <w:r>
        <w:rPr>
          <w:rFonts w:ascii="Cambria" w:hAnsi="Cambria" w:eastAsia="黑体" w:cs="Cambria"/>
          <w:b/>
          <w:bCs/>
          <w:sz w:val="24"/>
          <w:szCs w:val="24"/>
          <w:highlight w:val="none"/>
        </w:rPr>
        <w:t>2 Normative references</w:t>
      </w:r>
      <w:bookmarkEnd w:id="368"/>
    </w:p>
    <w:p w14:paraId="6E2CB8C8">
      <w:pPr>
        <w:keepNext w:val="0"/>
        <w:keepLines w:val="0"/>
        <w:pageBreakBefore w:val="0"/>
        <w:kinsoku/>
        <w:wordWrap/>
        <w:overflowPunct/>
        <w:topLinePunct w:val="0"/>
        <w:autoSpaceDE/>
        <w:autoSpaceDN/>
        <w:bidi w:val="0"/>
        <w:adjustRightInd/>
        <w:snapToGrid/>
        <w:spacing w:line="276" w:lineRule="auto"/>
        <w:ind w:firstLine="480" w:firstLineChars="200"/>
        <w:jc w:val="left"/>
        <w:textAlignment w:val="auto"/>
        <w:outlineLvl w:val="9"/>
        <w:rPr>
          <w:rFonts w:ascii="Cambria" w:hAnsi="Cambria" w:cs="Cambria"/>
          <w:sz w:val="24"/>
          <w:szCs w:val="24"/>
          <w:highlight w:val="none"/>
        </w:rPr>
      </w:pPr>
      <w:r>
        <w:rPr>
          <w:rFonts w:ascii="Cambria" w:hAnsi="Cambria" w:cs="Cambria"/>
          <w:sz w:val="24"/>
          <w:szCs w:val="24"/>
          <w:highlight w:val="none"/>
        </w:rPr>
        <w:t>The contents of the following documents constitute indispensable provisions of this document through normative references in the text. For dated references, only the edition corresponding to the cited date applies to this document. For undated references, the latest edition of the referenced document, including all amendments, applies to this document.</w:t>
      </w:r>
    </w:p>
    <w:p w14:paraId="0B1B2000">
      <w:pPr>
        <w:keepNext w:val="0"/>
        <w:keepLines w:val="0"/>
        <w:pageBreakBefore w:val="0"/>
        <w:widowControl/>
        <w:suppressLineNumbers w:val="0"/>
        <w:kinsoku/>
        <w:wordWrap/>
        <w:overflowPunct/>
        <w:topLinePunct w:val="0"/>
        <w:autoSpaceDE/>
        <w:autoSpaceDN/>
        <w:bidi w:val="0"/>
        <w:adjustRightInd/>
        <w:snapToGrid/>
        <w:spacing w:line="276" w:lineRule="auto"/>
        <w:ind w:firstLine="360"/>
        <w:jc w:val="left"/>
        <w:textAlignment w:val="auto"/>
        <w:outlineLvl w:val="9"/>
        <w:rPr>
          <w:rFonts w:ascii="Cambria" w:hAnsi="Cambria" w:cs="Cambria"/>
          <w:sz w:val="24"/>
          <w:szCs w:val="24"/>
        </w:rPr>
      </w:pPr>
      <w:r>
        <w:rPr>
          <w:rFonts w:ascii="Cambria" w:hAnsi="Cambria" w:cs="Cambria"/>
          <w:sz w:val="24"/>
          <w:szCs w:val="24"/>
        </w:rPr>
        <w:t>GB/T 30219-2013</w:t>
      </w:r>
      <w:r>
        <w:rPr>
          <w:rFonts w:hint="default" w:ascii="Cambria" w:hAnsi="Cambria" w:cs="Cambria"/>
          <w:sz w:val="24"/>
          <w:szCs w:val="24"/>
        </w:rPr>
        <w:t xml:space="preserve"> </w:t>
      </w:r>
      <w:r>
        <w:rPr>
          <w:rFonts w:ascii="Cambria" w:hAnsi="Cambria" w:eastAsia="宋体" w:cs="Cambria"/>
          <w:i w:val="0"/>
          <w:iCs w:val="0"/>
          <w:caps w:val="0"/>
          <w:color w:val="auto"/>
          <w:spacing w:val="0"/>
          <w:kern w:val="2"/>
          <w:sz w:val="24"/>
          <w:szCs w:val="24"/>
          <w:shd w:val="clear" w:fill="auto"/>
          <w:lang w:val="en-US" w:eastAsia="zh-CN" w:bidi="ar"/>
        </w:rPr>
        <w:t>Traditional Chinese Medicine Decoction Machine</w:t>
      </w:r>
      <w:r>
        <w:rPr>
          <w:rFonts w:ascii="Cambria" w:hAnsi="Cambria" w:eastAsia="宋体" w:cs="Cambria"/>
          <w:kern w:val="2"/>
          <w:sz w:val="24"/>
          <w:szCs w:val="24"/>
          <w:lang w:val="en-US" w:eastAsia="zh-CN" w:bidi="ar"/>
        </w:rPr>
        <w:t xml:space="preserve"> </w:t>
      </w:r>
    </w:p>
    <w:p w14:paraId="182BBB8D">
      <w:pPr>
        <w:keepNext w:val="0"/>
        <w:keepLines w:val="0"/>
        <w:pageBreakBefore w:val="0"/>
        <w:kinsoku/>
        <w:wordWrap/>
        <w:overflowPunct/>
        <w:topLinePunct w:val="0"/>
        <w:autoSpaceDE/>
        <w:autoSpaceDN/>
        <w:bidi w:val="0"/>
        <w:adjustRightInd/>
        <w:snapToGrid/>
        <w:spacing w:line="276" w:lineRule="auto"/>
        <w:ind w:firstLine="360" w:firstLineChars="0"/>
        <w:jc w:val="left"/>
        <w:textAlignment w:val="auto"/>
        <w:outlineLvl w:val="9"/>
        <w:rPr>
          <w:rFonts w:ascii="Cambria" w:hAnsi="Cambria" w:cs="Cambria"/>
          <w:sz w:val="24"/>
          <w:szCs w:val="24"/>
        </w:rPr>
      </w:pPr>
      <w:r>
        <w:rPr>
          <w:rFonts w:ascii="Cambria" w:hAnsi="Cambria" w:cs="Cambria"/>
          <w:sz w:val="24"/>
          <w:szCs w:val="24"/>
        </w:rPr>
        <w:t>ISO 18665 Traditional Chinese medicine — Herbal decoction apparatus</w:t>
      </w:r>
    </w:p>
    <w:p w14:paraId="3E7CA245">
      <w:pPr>
        <w:spacing w:before="312" w:beforeLines="100" w:after="312" w:afterLines="100" w:line="276" w:lineRule="auto"/>
        <w:outlineLvl w:val="0"/>
        <w:rPr>
          <w:rFonts w:ascii="Cambria" w:hAnsi="Cambria" w:eastAsia="黑体" w:cs="Cambria"/>
          <w:b/>
          <w:bCs/>
          <w:sz w:val="24"/>
          <w:szCs w:val="24"/>
        </w:rPr>
      </w:pPr>
      <w:bookmarkStart w:id="369" w:name="_Toc11505"/>
      <w:r>
        <w:rPr>
          <w:rFonts w:ascii="Cambria" w:hAnsi="Cambria" w:eastAsia="黑体" w:cs="Cambria"/>
          <w:b/>
          <w:bCs/>
          <w:sz w:val="24"/>
          <w:szCs w:val="24"/>
        </w:rPr>
        <w:t>3 Terms and definitions</w:t>
      </w:r>
      <w:bookmarkEnd w:id="369"/>
    </w:p>
    <w:p w14:paraId="7456F506">
      <w:pPr>
        <w:keepNext w:val="0"/>
        <w:keepLines w:val="0"/>
        <w:pageBreakBefore w:val="0"/>
        <w:widowControl w:val="0"/>
        <w:kinsoku/>
        <w:wordWrap/>
        <w:overflowPunct/>
        <w:topLinePunct w:val="0"/>
        <w:autoSpaceDE/>
        <w:autoSpaceDN/>
        <w:bidi w:val="0"/>
        <w:adjustRightInd/>
        <w:snapToGrid/>
        <w:spacing w:line="276" w:lineRule="auto"/>
        <w:ind w:firstLine="363"/>
        <w:textAlignment w:val="auto"/>
        <w:outlineLvl w:val="9"/>
        <w:rPr>
          <w:rFonts w:ascii="Cambria" w:hAnsi="Cambria" w:cs="Cambria"/>
          <w:sz w:val="24"/>
          <w:szCs w:val="24"/>
        </w:rPr>
      </w:pPr>
      <w:r>
        <w:rPr>
          <w:rFonts w:ascii="Cambria" w:hAnsi="Cambria" w:cs="Cambria"/>
          <w:sz w:val="24"/>
          <w:szCs w:val="24"/>
        </w:rPr>
        <w:t>The following terms and definitions apply to this document.</w:t>
      </w:r>
    </w:p>
    <w:p w14:paraId="140F4C29">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w:t>
      </w:r>
    </w:p>
    <w:p w14:paraId="06E44A2D">
      <w:pPr>
        <w:widowControl/>
        <w:spacing w:before="0" w:beforeLines="-2147483648" w:after="0" w:afterLines="-2147483648" w:line="240" w:lineRule="auto"/>
        <w:ind w:firstLine="482" w:firstLineChars="200"/>
        <w:jc w:val="left"/>
        <w:rPr>
          <w:rFonts w:ascii="Cambria" w:hAnsi="Cambria" w:eastAsia="黑体" w:cs="Cambria"/>
          <w:b/>
          <w:bCs/>
          <w:sz w:val="24"/>
          <w:szCs w:val="24"/>
        </w:rPr>
      </w:pPr>
      <w:r>
        <w:rPr>
          <w:rFonts w:ascii="Cambria" w:hAnsi="Cambria" w:eastAsia="黑体" w:cs="Cambria"/>
          <w:b/>
          <w:bCs/>
          <w:sz w:val="24"/>
          <w:szCs w:val="24"/>
        </w:rPr>
        <w:t>decoction</w:t>
      </w:r>
      <w:r>
        <w:rPr>
          <w:rFonts w:ascii="宋体" w:hAnsi="宋体" w:eastAsia="宋体" w:cs="宋体"/>
          <w:kern w:val="0"/>
          <w:sz w:val="24"/>
          <w:szCs w:val="24"/>
          <w:lang w:val="en-US" w:eastAsia="zh-CN" w:bidi="ar"/>
        </w:rPr>
        <w:t xml:space="preserve"> </w:t>
      </w:r>
    </w:p>
    <w:p w14:paraId="15188004">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liquid preparation prepared by decocting decoction pieces with water or soaking them in boiling water, followed by filtration to obtain the filtrate.</w:t>
      </w:r>
    </w:p>
    <w:p w14:paraId="1087E6F0">
      <w:pPr>
        <w:spacing w:line="276" w:lineRule="auto"/>
        <w:ind w:left="420" w:leftChars="200"/>
        <w:jc w:val="left"/>
        <w:rPr>
          <w:rFonts w:ascii="Cambria" w:hAnsi="Cambria" w:cs="Cambria"/>
          <w:sz w:val="24"/>
          <w:szCs w:val="24"/>
        </w:rPr>
      </w:pPr>
      <w:r>
        <w:rPr>
          <w:rFonts w:ascii="Cambria" w:hAnsi="Cambria" w:cs="Cambria"/>
          <w:sz w:val="24"/>
          <w:szCs w:val="24"/>
        </w:rPr>
        <w:t>Note 1: When coarse granules of decoction pieces are used medicinally, the preparation is also called “boiled powder”; when medicines are soaked in boiling water and taken at irregular times and in variable amounts, the preparation is commonly known as “yin”.</w:t>
      </w:r>
    </w:p>
    <w:p w14:paraId="134D0E68">
      <w:pPr>
        <w:spacing w:line="276" w:lineRule="auto"/>
        <w:ind w:left="420" w:leftChars="200"/>
        <w:jc w:val="left"/>
        <w:rPr>
          <w:rFonts w:ascii="Cambria" w:hAnsi="Cambria" w:cs="Cambria"/>
          <w:sz w:val="24"/>
          <w:szCs w:val="24"/>
        </w:rPr>
      </w:pPr>
      <w:r>
        <w:rPr>
          <w:rFonts w:ascii="Cambria" w:hAnsi="Cambria" w:cs="Cambria"/>
          <w:sz w:val="24"/>
          <w:szCs w:val="24"/>
        </w:rPr>
        <w:t>Note 2: Decoctions are mainly used for internal administration, nasogastric gavage and enema administration, and may also be used for gargling, bathing, fumigation and steaming.</w:t>
      </w:r>
    </w:p>
    <w:p w14:paraId="6B9C5933">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3.2</w:t>
      </w:r>
    </w:p>
    <w:p w14:paraId="5767F019">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 xml:space="preserve">mixture  </w:t>
      </w:r>
    </w:p>
    <w:p w14:paraId="079DEF9A">
      <w:pPr>
        <w:spacing w:before="156" w:beforeLines="50" w:after="156" w:afterLines="50" w:line="276" w:lineRule="auto"/>
        <w:ind w:firstLine="480" w:firstLineChars="200"/>
        <w:jc w:val="left"/>
        <w:rPr>
          <w:rFonts w:ascii="Cambria" w:hAnsi="Cambria" w:eastAsia="黑体" w:cs="Cambria"/>
          <w:sz w:val="24"/>
          <w:szCs w:val="24"/>
        </w:rPr>
      </w:pPr>
      <w:r>
        <w:rPr>
          <w:rFonts w:ascii="Cambria" w:hAnsi="Cambria" w:eastAsia="黑体" w:cs="Cambria"/>
          <w:sz w:val="24"/>
          <w:szCs w:val="24"/>
        </w:rPr>
        <w:t>An oral liquid preparation prepared by extracting decoction pieces with water or other solvents using appropriate methods.</w:t>
      </w:r>
    </w:p>
    <w:p w14:paraId="27668A47">
      <w:pPr>
        <w:tabs>
          <w:tab w:val="left" w:pos="360"/>
          <w:tab w:val="left" w:pos="540"/>
        </w:tabs>
        <w:spacing w:before="156" w:beforeLines="50" w:after="156" w:afterLines="50" w:line="276" w:lineRule="auto"/>
        <w:ind w:firstLine="480" w:firstLineChars="200"/>
        <w:rPr>
          <w:rFonts w:ascii="Cambria" w:hAnsi="Cambria" w:eastAsia="黑体" w:cs="Cambria"/>
          <w:sz w:val="24"/>
          <w:szCs w:val="24"/>
        </w:rPr>
      </w:pPr>
      <w:r>
        <w:rPr>
          <w:rFonts w:ascii="Cambria" w:hAnsi="Cambria" w:eastAsia="黑体" w:cs="Cambria"/>
          <w:sz w:val="24"/>
          <w:szCs w:val="24"/>
        </w:rPr>
        <w:t>Note: A single-dose filled preparation may also be called an oral liquid.</w:t>
      </w:r>
    </w:p>
    <w:p w14:paraId="4BF80D6F">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3.3</w:t>
      </w:r>
    </w:p>
    <w:p w14:paraId="358DF60B">
      <w:pPr>
        <w:tabs>
          <w:tab w:val="left" w:pos="360"/>
          <w:tab w:val="left" w:pos="540"/>
        </w:tabs>
        <w:spacing w:before="156" w:beforeLines="50" w:after="156" w:afterLines="50" w:line="276" w:lineRule="auto"/>
        <w:ind w:firstLine="482" w:firstLineChars="200"/>
        <w:rPr>
          <w:rFonts w:ascii="Cambria" w:hAnsi="Cambria" w:eastAsia="黑体" w:cs="Cambria"/>
          <w:b/>
          <w:bCs/>
          <w:sz w:val="24"/>
          <w:szCs w:val="24"/>
        </w:rPr>
      </w:pPr>
      <w:r>
        <w:rPr>
          <w:rFonts w:ascii="Cambria" w:hAnsi="Cambria" w:eastAsia="黑体" w:cs="Cambria"/>
          <w:b/>
          <w:bCs/>
          <w:sz w:val="24"/>
          <w:szCs w:val="24"/>
        </w:rPr>
        <w:t>syrup</w:t>
      </w:r>
    </w:p>
    <w:p w14:paraId="7A92C55F">
      <w:pPr>
        <w:tabs>
          <w:tab w:val="left" w:pos="360"/>
          <w:tab w:val="left" w:pos="540"/>
        </w:tabs>
        <w:spacing w:before="156" w:beforeLines="50" w:after="156" w:afterLines="50" w:line="276" w:lineRule="auto"/>
        <w:ind w:firstLine="480" w:firstLineChars="200"/>
        <w:rPr>
          <w:rFonts w:ascii="Cambria" w:hAnsi="Cambria" w:eastAsia="黑体" w:cs="Cambria"/>
          <w:sz w:val="24"/>
          <w:szCs w:val="24"/>
        </w:rPr>
      </w:pPr>
      <w:r>
        <w:rPr>
          <w:rFonts w:ascii="Cambria" w:hAnsi="Cambria" w:eastAsia="黑体" w:cs="Cambria"/>
          <w:sz w:val="24"/>
          <w:szCs w:val="24"/>
        </w:rPr>
        <w:t>A concentrated aqueous sucrose solution containing medicinal ingredients.</w:t>
      </w:r>
    </w:p>
    <w:p w14:paraId="44710A2A">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3.4</w:t>
      </w:r>
    </w:p>
    <w:p w14:paraId="340649A4">
      <w:pPr>
        <w:tabs>
          <w:tab w:val="left" w:pos="360"/>
          <w:tab w:val="left" w:pos="540"/>
        </w:tabs>
        <w:spacing w:before="156" w:beforeLines="50" w:after="156" w:afterLines="50" w:line="276" w:lineRule="auto"/>
        <w:ind w:firstLine="482" w:firstLineChars="200"/>
        <w:rPr>
          <w:rFonts w:ascii="Cambria" w:hAnsi="Cambria" w:eastAsia="黑体" w:cs="Cambria"/>
          <w:b/>
          <w:bCs/>
          <w:sz w:val="24"/>
          <w:szCs w:val="24"/>
        </w:rPr>
      </w:pPr>
      <w:r>
        <w:rPr>
          <w:rFonts w:ascii="Cambria" w:hAnsi="Cambria" w:eastAsia="黑体" w:cs="Cambria"/>
          <w:b/>
          <w:bCs/>
          <w:sz w:val="24"/>
          <w:szCs w:val="24"/>
        </w:rPr>
        <w:t>Fluidextract and extract</w:t>
      </w:r>
    </w:p>
    <w:p w14:paraId="2A08E5AE">
      <w:pPr>
        <w:tabs>
          <w:tab w:val="left" w:pos="360"/>
          <w:tab w:val="left" w:pos="540"/>
        </w:tabs>
        <w:spacing w:before="156" w:beforeLines="50" w:after="156" w:afterLines="50" w:line="276" w:lineRule="auto"/>
        <w:ind w:firstLine="480" w:firstLineChars="200"/>
        <w:rPr>
          <w:rFonts w:ascii="Cambria" w:hAnsi="Cambria" w:eastAsia="黑体" w:cs="Cambria"/>
          <w:sz w:val="24"/>
          <w:szCs w:val="24"/>
        </w:rPr>
      </w:pPr>
      <w:r>
        <w:rPr>
          <w:rFonts w:ascii="Cambria" w:hAnsi="Cambria" w:eastAsia="黑体" w:cs="Cambria"/>
          <w:sz w:val="24"/>
          <w:szCs w:val="24"/>
        </w:rPr>
        <w:t>Preparations made by extracting decoction pieces with suitable solvents, evaporating part or all of the solvents, and adjusting the preparations to the specified concentration.</w:t>
      </w:r>
    </w:p>
    <w:p w14:paraId="73F67F0F">
      <w:pPr>
        <w:spacing w:line="276" w:lineRule="auto"/>
        <w:ind w:left="420" w:leftChars="200"/>
        <w:jc w:val="left"/>
        <w:rPr>
          <w:rFonts w:ascii="Cambria" w:hAnsi="Cambria" w:cs="Cambria"/>
          <w:sz w:val="24"/>
          <w:szCs w:val="24"/>
        </w:rPr>
      </w:pPr>
      <w:r>
        <w:rPr>
          <w:rFonts w:ascii="Cambria" w:hAnsi="Cambria" w:cs="Cambria"/>
          <w:sz w:val="24"/>
          <w:szCs w:val="24"/>
        </w:rPr>
        <w:t>Note: Unless otherwise specified, a fluidextract refers to a preparation in which each 1 mL is equivalent to 1 g of decoction pieces. Extracts are divided into thick extracts and dry extracts, and each 1 g is equivalent to 2 g to 5 g of decoction pieces.</w:t>
      </w:r>
    </w:p>
    <w:p w14:paraId="14ABCD2E">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3.5</w:t>
      </w:r>
    </w:p>
    <w:p w14:paraId="20C2FA17">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 xml:space="preserve">tincture  </w:t>
      </w:r>
    </w:p>
    <w:p w14:paraId="5A790E2E">
      <w:pPr>
        <w:spacing w:line="276" w:lineRule="auto"/>
        <w:ind w:firstLine="480" w:firstLineChars="200"/>
        <w:jc w:val="left"/>
        <w:rPr>
          <w:rFonts w:ascii="Cambria" w:hAnsi="Cambria" w:cs="Cambria"/>
          <w:sz w:val="24"/>
          <w:szCs w:val="24"/>
        </w:rPr>
      </w:pPr>
      <w:r>
        <w:rPr>
          <w:rFonts w:ascii="Cambria" w:hAnsi="Cambria" w:cs="Cambria"/>
          <w:sz w:val="24"/>
          <w:szCs w:val="24"/>
        </w:rPr>
        <w:t>A clear liquid preparation prepared by extracting or dissolving medicinal ingredients with ethanol at a specified concentration, or by diluting a fluidextract.</w:t>
      </w:r>
    </w:p>
    <w:p w14:paraId="1F8069C9">
      <w:pPr>
        <w:spacing w:line="276" w:lineRule="auto"/>
        <w:ind w:left="420" w:leftChars="200"/>
        <w:jc w:val="left"/>
        <w:rPr>
          <w:rFonts w:ascii="Cambria" w:hAnsi="Cambria" w:cs="Cambria"/>
          <w:sz w:val="24"/>
          <w:szCs w:val="24"/>
        </w:rPr>
      </w:pPr>
      <w:r>
        <w:rPr>
          <w:rFonts w:ascii="Cambria" w:hAnsi="Cambria" w:cs="Cambria"/>
          <w:sz w:val="24"/>
          <w:szCs w:val="24"/>
        </w:rPr>
        <w:t>Note: Tinctures are used for oral administration or external use.</w:t>
      </w:r>
    </w:p>
    <w:p w14:paraId="48A1FAC9">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3.6</w:t>
      </w:r>
    </w:p>
    <w:p w14:paraId="749F3391">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emulsion</w:t>
      </w:r>
    </w:p>
    <w:p w14:paraId="40BE5825">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An oil-in-water liquid preparation for oral and other gastrointestinal administration, prepared by dispersing medicinal ingredients in two mutually immiscible liquids.</w:t>
      </w:r>
    </w:p>
    <w:p w14:paraId="4D351EEB">
      <w:pPr>
        <w:spacing w:line="276" w:lineRule="auto"/>
        <w:ind w:left="420" w:leftChars="200"/>
        <w:jc w:val="left"/>
        <w:rPr>
          <w:rFonts w:ascii="Cambria" w:hAnsi="Cambria" w:cs="Cambria"/>
          <w:sz w:val="24"/>
          <w:szCs w:val="24"/>
        </w:rPr>
      </w:pPr>
      <w:r>
        <w:rPr>
          <w:rFonts w:ascii="Cambria" w:hAnsi="Cambria" w:cs="Cambria"/>
          <w:sz w:val="24"/>
          <w:szCs w:val="24"/>
        </w:rPr>
        <w:t>Note: An oral emulsion measured in small volumes or by drops using a suitable measuring device is called drops.</w:t>
      </w:r>
    </w:p>
    <w:p w14:paraId="77FED63F">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3.7</w:t>
      </w:r>
    </w:p>
    <w:p w14:paraId="3187D61E">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distillate</w:t>
      </w:r>
    </w:p>
    <w:p w14:paraId="4ECCEDCB">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An aromatic water preparation prepared from decoction pieces containing volatile constituents by steam distillation.</w:t>
      </w:r>
    </w:p>
    <w:p w14:paraId="41C9F02B">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3.8</w:t>
      </w:r>
    </w:p>
    <w:p w14:paraId="19DB9248">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electuary</w:t>
      </w:r>
    </w:p>
    <w:p w14:paraId="04FF0C1B">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semi-fluid preparation prepared by decocting decoction pieces with water, concentrating the decoction, and adding refined honey or sugar, or invert sugar.</w:t>
      </w:r>
    </w:p>
    <w:p w14:paraId="4FD465E7">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3.9</w:t>
      </w:r>
    </w:p>
    <w:p w14:paraId="11F1959C">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granules</w:t>
      </w:r>
    </w:p>
    <w:p w14:paraId="70F6EBE7">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Dry granular preparations with a certain particle size prepared by mixing medicinal ingredients with suitable excipients.</w:t>
      </w:r>
    </w:p>
    <w:p w14:paraId="5CC27BF1">
      <w:pPr>
        <w:spacing w:line="276" w:lineRule="auto"/>
        <w:ind w:left="420" w:leftChars="200"/>
        <w:jc w:val="left"/>
        <w:rPr>
          <w:rFonts w:ascii="Cambria" w:hAnsi="Cambria" w:cs="Cambria"/>
          <w:sz w:val="24"/>
          <w:szCs w:val="24"/>
        </w:rPr>
      </w:pPr>
      <w:r>
        <w:rPr>
          <w:rFonts w:ascii="Cambria" w:hAnsi="Cambria" w:cs="Cambria"/>
          <w:sz w:val="24"/>
          <w:szCs w:val="24"/>
        </w:rPr>
        <w:t>Note 1: Granules may be classified into soluble granules, commonly referred to as granules, suspension granules, effervescent granules and enteric granules. According to different release characteristics, they also include sustained-release granules and other types.</w:t>
      </w:r>
    </w:p>
    <w:p w14:paraId="6D63EF6C">
      <w:pPr>
        <w:spacing w:line="276" w:lineRule="auto"/>
        <w:ind w:left="420" w:leftChars="200"/>
        <w:jc w:val="left"/>
        <w:rPr>
          <w:rFonts w:ascii="Cambria" w:hAnsi="Cambria" w:cs="Cambria"/>
          <w:sz w:val="24"/>
          <w:szCs w:val="24"/>
        </w:rPr>
      </w:pPr>
      <w:r>
        <w:rPr>
          <w:rFonts w:ascii="Cambria" w:hAnsi="Cambria" w:cs="Cambria"/>
          <w:sz w:val="24"/>
          <w:szCs w:val="24"/>
        </w:rPr>
        <w:t>Note 2: Granules in this standard include Chinese medicine compound granules and Chinese medicine formula granules.</w:t>
      </w:r>
    </w:p>
    <w:p w14:paraId="1BBA5695">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3.10</w:t>
      </w:r>
    </w:p>
    <w:p w14:paraId="00593F22">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tablet</w:t>
      </w:r>
    </w:p>
    <w:p w14:paraId="7AD7A875">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round or irregularly shaped solid tablet preparation prepared from medicinal ingredients alone or together with suitable excipients.</w:t>
      </w:r>
    </w:p>
    <w:p w14:paraId="7C0A3B14">
      <w:pPr>
        <w:spacing w:line="276" w:lineRule="auto"/>
        <w:ind w:left="420" w:leftChars="200"/>
        <w:jc w:val="left"/>
        <w:rPr>
          <w:rFonts w:ascii="Cambria" w:hAnsi="Cambria" w:cs="Cambria"/>
          <w:sz w:val="24"/>
          <w:szCs w:val="24"/>
        </w:rPr>
      </w:pPr>
      <w:r>
        <w:rPr>
          <w:rFonts w:ascii="Cambria" w:hAnsi="Cambria" w:cs="Cambria"/>
          <w:sz w:val="24"/>
          <w:szCs w:val="24"/>
        </w:rPr>
        <w:t>Note 1: Chinese medicine tablets also include extract tablets, semi-extract tablets and whole-powder tablets.</w:t>
      </w:r>
    </w:p>
    <w:p w14:paraId="49B9E9E1">
      <w:pPr>
        <w:spacing w:line="276" w:lineRule="auto"/>
        <w:ind w:left="420" w:leftChars="200"/>
        <w:jc w:val="left"/>
        <w:rPr>
          <w:rFonts w:ascii="Cambria" w:hAnsi="Cambria" w:cs="Cambria"/>
          <w:sz w:val="24"/>
          <w:szCs w:val="24"/>
        </w:rPr>
      </w:pPr>
      <w:r>
        <w:rPr>
          <w:rFonts w:ascii="Cambria" w:hAnsi="Cambria" w:cs="Cambria"/>
          <w:sz w:val="24"/>
          <w:szCs w:val="24"/>
        </w:rPr>
        <w:t>Note 2: Tablets are mainly ordinary oral tablets, and also include lozenges, sublingual tablets, buccal patches, chewable tablets, dispersible tablets, soluble tablets, effervescent tablets, enteric-coated tablets and orally disintegrating tablets.</w:t>
      </w:r>
    </w:p>
    <w:p w14:paraId="5CA3508A">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3.11</w:t>
      </w:r>
    </w:p>
    <w:p w14:paraId="3AB54415">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capsule</w:t>
      </w:r>
    </w:p>
    <w:p w14:paraId="5701ADD9">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solid preparation prepared by filling medicinal ingredients alone or together with suitable excipients into hard capsules, or by sealing them in soft capsule shells.</w:t>
      </w:r>
    </w:p>
    <w:p w14:paraId="4E43B877">
      <w:pPr>
        <w:spacing w:line="276" w:lineRule="auto"/>
        <w:ind w:left="420" w:leftChars="200"/>
        <w:jc w:val="left"/>
        <w:rPr>
          <w:rFonts w:ascii="Cambria" w:hAnsi="Cambria" w:cs="Cambria"/>
          <w:sz w:val="24"/>
          <w:szCs w:val="24"/>
        </w:rPr>
      </w:pPr>
      <w:r>
        <w:rPr>
          <w:rFonts w:ascii="Cambria" w:hAnsi="Cambria" w:cs="Cambria"/>
          <w:sz w:val="24"/>
          <w:szCs w:val="24"/>
        </w:rPr>
        <w:t>Note: Capsules may be classified into hard capsules and soft capsules. According to different release characteristics, they also include sustained-release capsules, controlled-release capsules and enteric-coated capsules.</w:t>
      </w:r>
    </w:p>
    <w:p w14:paraId="74AB69F8">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3.12</w:t>
      </w:r>
    </w:p>
    <w:p w14:paraId="5A925C3F">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powder</w:t>
      </w:r>
    </w:p>
    <w:p w14:paraId="14CB18EE">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dry powdered preparation prepared by pulverizing medicinal ingredients alone or together with suitable excipients and mixing them uniformly.</w:t>
      </w:r>
    </w:p>
    <w:p w14:paraId="0B9E1C13">
      <w:pPr>
        <w:spacing w:line="276" w:lineRule="auto"/>
        <w:ind w:left="420" w:leftChars="200"/>
        <w:jc w:val="left"/>
        <w:rPr>
          <w:rFonts w:ascii="Cambria" w:hAnsi="Cambria" w:cs="Cambria"/>
          <w:sz w:val="24"/>
          <w:szCs w:val="24"/>
        </w:rPr>
      </w:pPr>
      <w:r>
        <w:rPr>
          <w:rFonts w:ascii="Cambria" w:hAnsi="Cambria" w:cs="Cambria"/>
          <w:sz w:val="24"/>
          <w:szCs w:val="24"/>
        </w:rPr>
        <w:t>Note: Powders may be classified into oral powders and powders for topical use.</w:t>
      </w:r>
    </w:p>
    <w:p w14:paraId="4FC6483A">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3.13</w:t>
      </w:r>
    </w:p>
    <w:p w14:paraId="256604AF">
      <w:pPr>
        <w:spacing w:before="156" w:beforeLines="50" w:after="156" w:afterLines="50" w:line="276" w:lineRule="auto"/>
        <w:ind w:firstLine="420"/>
        <w:jc w:val="left"/>
        <w:rPr>
          <w:rFonts w:ascii="Cambria" w:hAnsi="Cambria" w:eastAsia="黑体" w:cs="Cambria"/>
          <w:b/>
          <w:bCs/>
          <w:sz w:val="24"/>
          <w:szCs w:val="24"/>
        </w:rPr>
      </w:pPr>
      <w:r>
        <w:rPr>
          <w:rFonts w:hint="default" w:ascii="Cambria" w:hAnsi="Cambria" w:eastAsia="黑体" w:cs="Cambria"/>
          <w:b/>
          <w:bCs/>
          <w:sz w:val="24"/>
          <w:szCs w:val="24"/>
        </w:rPr>
        <w:t>p</w:t>
      </w:r>
      <w:r>
        <w:rPr>
          <w:rFonts w:ascii="Cambria" w:hAnsi="Cambria" w:eastAsia="黑体" w:cs="Cambria"/>
          <w:b/>
          <w:bCs/>
          <w:sz w:val="24"/>
          <w:szCs w:val="24"/>
        </w:rPr>
        <w:t>ill</w:t>
      </w:r>
    </w:p>
    <w:p w14:paraId="081E389A">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spherical or spheroidal solid preparation prepared from medicinal ingredients and suitable excipients.</w:t>
      </w:r>
    </w:p>
    <w:p w14:paraId="38B307D8">
      <w:pPr>
        <w:spacing w:line="276" w:lineRule="auto"/>
        <w:ind w:left="420" w:leftChars="200"/>
        <w:jc w:val="left"/>
        <w:rPr>
          <w:rFonts w:ascii="Cambria" w:hAnsi="Cambria" w:cs="Cambria"/>
          <w:sz w:val="24"/>
          <w:szCs w:val="24"/>
        </w:rPr>
      </w:pPr>
      <w:r>
        <w:rPr>
          <w:rFonts w:ascii="Cambria" w:hAnsi="Cambria" w:cs="Cambria"/>
          <w:sz w:val="24"/>
          <w:szCs w:val="24"/>
        </w:rPr>
        <w:t>Note: Pills include honey pills, water-honey pills, water pills, paste pills, wax pills, concentrated pills, dripping pills, sugar pills and other types.</w:t>
      </w:r>
    </w:p>
    <w:p w14:paraId="310D44DD">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3.14</w:t>
      </w:r>
    </w:p>
    <w:p w14:paraId="53CC4FCD">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dripping pill</w:t>
      </w:r>
    </w:p>
    <w:p w14:paraId="660235F7">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spherical or spheroidal preparation prepared by heating and melting medicinal ingredients together with a suitable matrix, mixing them uniformly, and dripping the mixture into an immiscible and non-reactive cooling medium.</w:t>
      </w:r>
    </w:p>
    <w:p w14:paraId="31121722">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3.15</w:t>
      </w:r>
    </w:p>
    <w:p w14:paraId="18D64163">
      <w:pPr>
        <w:spacing w:before="156" w:beforeLines="50" w:after="156" w:afterLines="50" w:line="276" w:lineRule="auto"/>
        <w:ind w:firstLine="420"/>
        <w:jc w:val="left"/>
        <w:rPr>
          <w:rFonts w:ascii="Cambria" w:hAnsi="Cambria" w:eastAsia="黑体" w:cs="Cambria"/>
          <w:b/>
          <w:bCs/>
          <w:sz w:val="24"/>
          <w:szCs w:val="24"/>
        </w:rPr>
      </w:pPr>
      <w:r>
        <w:rPr>
          <w:rFonts w:hint="default" w:ascii="Cambria" w:hAnsi="Cambria" w:eastAsia="黑体" w:cs="Cambria"/>
          <w:b/>
          <w:bCs/>
          <w:sz w:val="24"/>
          <w:szCs w:val="24"/>
        </w:rPr>
        <w:t>c</w:t>
      </w:r>
      <w:r>
        <w:rPr>
          <w:rFonts w:ascii="Cambria" w:hAnsi="Cambria" w:eastAsia="黑体" w:cs="Cambria"/>
          <w:b/>
          <w:bCs/>
          <w:sz w:val="24"/>
          <w:szCs w:val="24"/>
        </w:rPr>
        <w:t xml:space="preserve">ake </w:t>
      </w:r>
      <w:r>
        <w:rPr>
          <w:rFonts w:hint="default" w:ascii="Cambria" w:hAnsi="Cambria" w:eastAsia="黑体" w:cs="Cambria"/>
          <w:b/>
          <w:bCs/>
          <w:sz w:val="24"/>
          <w:szCs w:val="24"/>
        </w:rPr>
        <w:t>medicine</w:t>
      </w:r>
    </w:p>
    <w:p w14:paraId="58D5C8FC">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block preparation prepared by mixing fine powder of decoction pieces with rice powder and sucrose, followed by steaming.</w:t>
      </w:r>
    </w:p>
    <w:p w14:paraId="301224AA">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3.16</w:t>
      </w:r>
    </w:p>
    <w:p w14:paraId="2A91FCCE">
      <w:pPr>
        <w:spacing w:before="156" w:beforeLines="50" w:after="156" w:afterLines="50" w:line="276" w:lineRule="auto"/>
        <w:ind w:firstLine="420"/>
        <w:jc w:val="left"/>
        <w:rPr>
          <w:rFonts w:ascii="Cambria" w:hAnsi="Cambria" w:eastAsia="黑体" w:cs="Cambria"/>
          <w:b/>
          <w:bCs/>
          <w:sz w:val="24"/>
          <w:szCs w:val="24"/>
        </w:rPr>
      </w:pPr>
      <w:r>
        <w:rPr>
          <w:rFonts w:hint="default" w:ascii="Cambria" w:hAnsi="Cambria" w:eastAsia="黑体" w:cs="Cambria"/>
          <w:b/>
          <w:bCs/>
          <w:sz w:val="24"/>
          <w:szCs w:val="24"/>
        </w:rPr>
        <w:t>g</w:t>
      </w:r>
      <w:r>
        <w:rPr>
          <w:rFonts w:ascii="Cambria" w:hAnsi="Cambria" w:eastAsia="黑体" w:cs="Cambria"/>
          <w:b/>
          <w:bCs/>
          <w:sz w:val="24"/>
          <w:szCs w:val="24"/>
        </w:rPr>
        <w:t>lue</w:t>
      </w:r>
    </w:p>
    <w:p w14:paraId="0F08969E">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solid block oral preparation prepared by decocting animal skin, bone, shell or horn with water to obtain gelatinous substances, concentrating them into a thick gelatinous mass, and drying the mass.</w:t>
      </w:r>
    </w:p>
    <w:p w14:paraId="144D1CFD">
      <w:pPr>
        <w:spacing w:line="276" w:lineRule="auto"/>
        <w:ind w:left="420" w:leftChars="200"/>
        <w:jc w:val="left"/>
        <w:rPr>
          <w:rFonts w:ascii="Cambria" w:hAnsi="Cambria" w:cs="Cambria"/>
          <w:sz w:val="24"/>
          <w:szCs w:val="24"/>
        </w:rPr>
      </w:pPr>
      <w:r>
        <w:rPr>
          <w:rFonts w:ascii="Cambria" w:hAnsi="Cambria" w:cs="Cambria"/>
          <w:sz w:val="24"/>
          <w:szCs w:val="24"/>
        </w:rPr>
        <w:t xml:space="preserve">Note: According to different sources of raw materials, </w:t>
      </w:r>
      <w:r>
        <w:rPr>
          <w:rFonts w:hint="default" w:ascii="Cambria" w:hAnsi="Cambria" w:cs="Cambria"/>
          <w:sz w:val="24"/>
          <w:szCs w:val="24"/>
        </w:rPr>
        <w:t>glue</w:t>
      </w:r>
      <w:r>
        <w:rPr>
          <w:rFonts w:ascii="Cambria" w:hAnsi="Cambria" w:cs="Cambria"/>
          <w:sz w:val="24"/>
          <w:szCs w:val="24"/>
        </w:rPr>
        <w:t xml:space="preserve"> may be classified into hide </w:t>
      </w:r>
      <w:r>
        <w:rPr>
          <w:rFonts w:hint="default" w:ascii="Cambria" w:hAnsi="Cambria" w:cs="Cambria"/>
          <w:sz w:val="24"/>
          <w:szCs w:val="24"/>
        </w:rPr>
        <w:t>glue</w:t>
      </w:r>
      <w:r>
        <w:rPr>
          <w:rFonts w:ascii="Cambria" w:hAnsi="Cambria" w:cs="Cambria"/>
          <w:sz w:val="24"/>
          <w:szCs w:val="24"/>
        </w:rPr>
        <w:t xml:space="preserve"> prepared from animal skin, horn </w:t>
      </w:r>
      <w:r>
        <w:rPr>
          <w:rFonts w:hint="default" w:ascii="Cambria" w:hAnsi="Cambria" w:cs="Cambria"/>
          <w:sz w:val="24"/>
          <w:szCs w:val="24"/>
        </w:rPr>
        <w:t>glue</w:t>
      </w:r>
      <w:r>
        <w:rPr>
          <w:rFonts w:ascii="Cambria" w:hAnsi="Cambria" w:cs="Cambria"/>
          <w:sz w:val="24"/>
          <w:szCs w:val="24"/>
        </w:rPr>
        <w:t xml:space="preserve"> prepared from ossified animal horn, bone g</w:t>
      </w:r>
      <w:r>
        <w:rPr>
          <w:rFonts w:hint="default" w:ascii="Cambria" w:hAnsi="Cambria" w:cs="Cambria"/>
          <w:sz w:val="24"/>
          <w:szCs w:val="24"/>
        </w:rPr>
        <w:t>lue</w:t>
      </w:r>
      <w:r>
        <w:rPr>
          <w:rFonts w:ascii="Cambria" w:hAnsi="Cambria" w:cs="Cambria"/>
          <w:sz w:val="24"/>
          <w:szCs w:val="24"/>
        </w:rPr>
        <w:t xml:space="preserve"> prepared from animal bone, shell g</w:t>
      </w:r>
      <w:r>
        <w:rPr>
          <w:rFonts w:hint="default" w:ascii="Cambria" w:hAnsi="Cambria" w:cs="Cambria"/>
          <w:sz w:val="24"/>
          <w:szCs w:val="24"/>
        </w:rPr>
        <w:t>lue</w:t>
      </w:r>
      <w:r>
        <w:rPr>
          <w:rFonts w:ascii="Cambria" w:hAnsi="Cambria" w:cs="Cambria"/>
          <w:sz w:val="24"/>
          <w:szCs w:val="24"/>
        </w:rPr>
        <w:t xml:space="preserve"> prepared from animal shell, and other types.</w:t>
      </w:r>
    </w:p>
    <w:p w14:paraId="6F6A8A6E">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3.17</w:t>
      </w:r>
    </w:p>
    <w:p w14:paraId="39496600">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nasogastric gavage</w:t>
      </w:r>
    </w:p>
    <w:p w14:paraId="69666DDF">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method in which a tube is inserted through the nasal cavity into the stomach, and liquid food, water and medicines are infused through the tube.</w:t>
      </w:r>
    </w:p>
    <w:p w14:paraId="52652D98">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3.18</w:t>
      </w:r>
    </w:p>
    <w:p w14:paraId="1E3ABE95">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rectal infusion administration</w:t>
      </w:r>
    </w:p>
    <w:p w14:paraId="4041A60F">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method of administration in which a prepared medicinal liquid is infused through an anal tube using a syringe inserted into the anus and retained in the intestinal cavity, producing therapeutic effects through direct action on the affected site, absorption through the intestinal mucosa, and other mechanisms.</w:t>
      </w:r>
    </w:p>
    <w:p w14:paraId="30AD5DBA">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3.19</w:t>
      </w:r>
    </w:p>
    <w:p w14:paraId="07101433">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rectoclysis</w:t>
      </w:r>
    </w:p>
    <w:p w14:paraId="40BF2A74">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method of administration in which a sterilized anal tube or disposable rectoclysis catheter is inserted through the anus into the rectum and connected to a prepared enema bag, allowing the medicinal liquid to drip slowly into the rectum and to be directly absorbed through the rectal mucosa, so as to treat relevant diseases.</w:t>
      </w:r>
    </w:p>
    <w:p w14:paraId="19C2983E">
      <w:pPr>
        <w:tabs>
          <w:tab w:val="left" w:pos="360"/>
          <w:tab w:val="left" w:pos="540"/>
        </w:tabs>
        <w:spacing w:before="156" w:beforeLines="50" w:after="156" w:afterLines="50" w:line="276" w:lineRule="auto"/>
        <w:rPr>
          <w:rFonts w:ascii="Cambria" w:hAnsi="Cambria" w:eastAsia="黑体" w:cs="Cambria"/>
          <w:b/>
          <w:bCs/>
          <w:sz w:val="24"/>
          <w:szCs w:val="24"/>
        </w:rPr>
      </w:pPr>
      <w:r>
        <w:rPr>
          <w:rFonts w:ascii="Cambria" w:hAnsi="Cambria" w:eastAsia="黑体" w:cs="Cambria"/>
          <w:b/>
          <w:bCs/>
          <w:sz w:val="24"/>
          <w:szCs w:val="24"/>
        </w:rPr>
        <w:t>3.20</w:t>
      </w:r>
    </w:p>
    <w:p w14:paraId="0CB87B00">
      <w:pPr>
        <w:spacing w:before="156" w:beforeLines="50" w:after="156" w:afterLines="50" w:line="276" w:lineRule="auto"/>
        <w:ind w:firstLine="420"/>
        <w:jc w:val="left"/>
        <w:rPr>
          <w:rFonts w:ascii="Cambria" w:hAnsi="Cambria" w:eastAsia="黑体" w:cs="Cambria"/>
          <w:b/>
          <w:bCs/>
          <w:sz w:val="24"/>
          <w:szCs w:val="24"/>
        </w:rPr>
      </w:pPr>
      <w:r>
        <w:rPr>
          <w:rFonts w:ascii="Cambria" w:hAnsi="Cambria" w:eastAsia="黑体" w:cs="Cambria"/>
          <w:b/>
          <w:bCs/>
          <w:sz w:val="24"/>
          <w:szCs w:val="24"/>
        </w:rPr>
        <w:t>enema</w:t>
      </w:r>
    </w:p>
    <w:p w14:paraId="2C8E430B">
      <w:pPr>
        <w:spacing w:before="156" w:beforeLines="50" w:after="156" w:afterLines="50" w:line="276" w:lineRule="auto"/>
        <w:ind w:firstLine="420"/>
        <w:jc w:val="left"/>
        <w:rPr>
          <w:rFonts w:ascii="Cambria" w:hAnsi="Cambria" w:eastAsia="黑体" w:cs="Cambria"/>
          <w:sz w:val="24"/>
          <w:szCs w:val="24"/>
        </w:rPr>
      </w:pPr>
      <w:r>
        <w:rPr>
          <w:rFonts w:ascii="Cambria" w:hAnsi="Cambria" w:eastAsia="黑体" w:cs="Cambria"/>
          <w:sz w:val="24"/>
          <w:szCs w:val="24"/>
        </w:rPr>
        <w:t>A liquid preparation for rectal infusion for the purposes of treatment, diagnosis or nutrition, including aqueous or oily solutions, emulsions and suspensions.</w:t>
      </w:r>
    </w:p>
    <w:p w14:paraId="1C241895">
      <w:pPr>
        <w:spacing w:before="312" w:beforeLines="100" w:after="312" w:afterLines="100" w:line="276" w:lineRule="auto"/>
        <w:outlineLvl w:val="0"/>
        <w:rPr>
          <w:rFonts w:ascii="Cambria" w:hAnsi="Cambria" w:eastAsia="黑体" w:cs="Cambria"/>
          <w:b/>
          <w:bCs/>
          <w:sz w:val="24"/>
          <w:szCs w:val="24"/>
        </w:rPr>
      </w:pPr>
      <w:bookmarkStart w:id="370" w:name="_Toc9642"/>
      <w:r>
        <w:rPr>
          <w:rFonts w:ascii="Cambria" w:hAnsi="Cambria" w:eastAsia="黑体" w:cs="Cambria"/>
          <w:b/>
          <w:bCs/>
          <w:sz w:val="24"/>
          <w:szCs w:val="24"/>
        </w:rPr>
        <w:t>4 Operating procedures and requirements for oral administration of decoctions</w:t>
      </w:r>
      <w:bookmarkEnd w:id="370"/>
    </w:p>
    <w:p w14:paraId="696BC242">
      <w:pPr>
        <w:tabs>
          <w:tab w:val="left" w:pos="360"/>
          <w:tab w:val="left" w:pos="540"/>
        </w:tabs>
        <w:spacing w:before="156" w:beforeLines="50" w:after="156" w:afterLines="50" w:line="276" w:lineRule="auto"/>
        <w:outlineLvl w:val="1"/>
        <w:rPr>
          <w:rFonts w:ascii="Cambria" w:hAnsi="Cambria" w:eastAsia="黑体" w:cs="Cambria"/>
          <w:b/>
          <w:bCs/>
          <w:sz w:val="24"/>
          <w:szCs w:val="24"/>
        </w:rPr>
      </w:pPr>
      <w:bookmarkStart w:id="371" w:name="_Toc10885"/>
      <w:r>
        <w:rPr>
          <w:rFonts w:ascii="Cambria" w:hAnsi="Cambria" w:eastAsia="黑体" w:cs="Cambria"/>
          <w:b/>
          <w:bCs/>
          <w:sz w:val="24"/>
          <w:szCs w:val="24"/>
        </w:rPr>
        <w:t>4.1 Decocting methods</w:t>
      </w:r>
      <w:bookmarkEnd w:id="371"/>
    </w:p>
    <w:p w14:paraId="49DDCF34">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4.1.1  Decoction utensils</w:t>
      </w:r>
    </w:p>
    <w:p w14:paraId="499B4F15">
      <w:pPr>
        <w:spacing w:line="276" w:lineRule="auto"/>
        <w:ind w:firstLine="480" w:firstLineChars="200"/>
        <w:rPr>
          <w:rFonts w:ascii="Cambria" w:hAnsi="Cambria" w:cs="Cambria"/>
          <w:b/>
          <w:sz w:val="24"/>
          <w:szCs w:val="24"/>
        </w:rPr>
      </w:pPr>
      <w:r>
        <w:rPr>
          <w:rFonts w:ascii="Cambria" w:hAnsi="Cambria" w:cs="Cambria"/>
          <w:sz w:val="24"/>
          <w:szCs w:val="24"/>
        </w:rPr>
        <w:t>Covered utensils made of materials such as earthenware pots, clay pots, ceramics, food-grade stainless steel (304 or 316, etc.), glass or enamel, as well as automatic decocting machines conforming to GB/T 30219—2013 and ISO 18665, shall be used.</w:t>
      </w:r>
    </w:p>
    <w:p w14:paraId="41BA01A6">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4.1.2  Preparation before decoction</w:t>
      </w:r>
    </w:p>
    <w:p w14:paraId="5398BC5A">
      <w:pPr>
        <w:spacing w:line="276" w:lineRule="auto"/>
        <w:ind w:firstLine="480" w:firstLineChars="200"/>
        <w:rPr>
          <w:rFonts w:ascii="Cambria" w:hAnsi="Cambria" w:cs="Cambria"/>
          <w:sz w:val="24"/>
          <w:szCs w:val="24"/>
        </w:rPr>
      </w:pPr>
      <w:r>
        <w:rPr>
          <w:rFonts w:ascii="Cambria" w:hAnsi="Cambria" w:cs="Cambria"/>
          <w:sz w:val="24"/>
          <w:szCs w:val="24"/>
        </w:rPr>
        <w:t>The decoction pot shall be cleaned. The medicinal materials in decoction pieces or coarse powder shall be placed into the pot, and an appropriate amount of drinking water meeting the hygiene standards of the country where the procedure is performed shall be added. The soaking time shall generally be not less than 30 min. For tonifying prescriptions, minerals and shell substances, the soaking time shall be extended to 45 min to 60 min, until the medicines are fully soaked through. The water level should be 2 cm to 3 cm above the surface of the medicines. For exterior-releasing prescriptions, it should be approximately 1 cm to 2 cm above the surface of the medicines; for tonifying prescriptions, flowers and herbs, and medicines requiring a longer decocting time, it should be approximately 3 cm to 5 cm above the surface of the medicines.</w:t>
      </w:r>
    </w:p>
    <w:p w14:paraId="36BA7B17">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4.1.3  Decocting methods</w:t>
      </w:r>
    </w:p>
    <w:p w14:paraId="4E72B60F">
      <w:pPr>
        <w:spacing w:line="276" w:lineRule="auto"/>
        <w:ind w:firstLine="480" w:firstLineChars="200"/>
        <w:rPr>
          <w:rFonts w:ascii="Cambria" w:hAnsi="Cambria" w:cs="Cambria"/>
          <w:sz w:val="24"/>
          <w:szCs w:val="24"/>
        </w:rPr>
      </w:pPr>
      <w:r>
        <w:rPr>
          <w:rFonts w:ascii="Cambria" w:hAnsi="Cambria" w:cs="Cambria"/>
          <w:sz w:val="24"/>
          <w:szCs w:val="24"/>
        </w:rPr>
        <w:t>The decoction pot containing the medicines and water shall be placed over a heat source and heated. The medicines shall first be brought to a boil over strong heat, and then continuously heated over gentle heat. General medicines shall be decocted for another 20 min to 30 min after boiling. Exterior-releasing, heat-clearing and aromatic medicines should not be decocted for a long time, and shall be decocted for another 15 min to 20 min after boiling. Tonifying medicines shall first be brought to a boil over strong heat and then slowly decocted over gentle heat for 30 min to 60 min. The decocting time for the second decoction shall be 5 min to 10 min shorter than that for the first decoction. During decoction, the medicinal materials shall be stirred 2 to 3 times. Stirring implements should preferably include rods made of ceramic or food-grade stainless steel, as well as bamboo chopsticks. After decoction is completed, the pot shall be removed from the heat, and the medicinal liquid shall be filtered through a fine medicinal sieve into a clean container.</w:t>
      </w:r>
    </w:p>
    <w:p w14:paraId="00305005">
      <w:pPr>
        <w:spacing w:line="276" w:lineRule="auto"/>
        <w:ind w:firstLine="480" w:firstLineChars="200"/>
        <w:rPr>
          <w:rFonts w:ascii="Cambria" w:hAnsi="Cambria" w:cs="Cambria"/>
          <w:sz w:val="24"/>
          <w:szCs w:val="24"/>
        </w:rPr>
      </w:pPr>
      <w:r>
        <w:rPr>
          <w:rFonts w:ascii="Cambria" w:hAnsi="Cambria" w:cs="Cambria"/>
          <w:sz w:val="24"/>
          <w:szCs w:val="24"/>
        </w:rPr>
        <w:t>Medicines marked with special requirements, such as decocting first, adding later, decocting separately, dissolving by heating, wrap-decocting, or using decoction as water, shall be processed according to the physician’s instructions or relevant specifications.</w:t>
      </w:r>
    </w:p>
    <w:p w14:paraId="45E945C2">
      <w:pPr>
        <w:spacing w:line="276" w:lineRule="auto"/>
        <w:ind w:firstLine="480" w:firstLineChars="200"/>
        <w:rPr>
          <w:rFonts w:ascii="Cambria" w:hAnsi="Cambria" w:cs="Cambria"/>
          <w:sz w:val="24"/>
          <w:szCs w:val="24"/>
        </w:rPr>
      </w:pPr>
      <w:r>
        <w:rPr>
          <w:rFonts w:ascii="Cambria" w:hAnsi="Cambria" w:cs="Cambria"/>
          <w:sz w:val="24"/>
          <w:szCs w:val="24"/>
        </w:rPr>
        <w:t>a) Decocting first: minerals, shells, horn and carapace substances, and Chinese medicines requiring toxicity reduction and efficacy enhancement shall be decocted for 30 min or longer according to experience and relevant specifications, and then the other soaked medicines shall be added and decocted together.</w:t>
      </w:r>
    </w:p>
    <w:p w14:paraId="7668D8EB">
      <w:pPr>
        <w:spacing w:line="276" w:lineRule="auto"/>
        <w:ind w:firstLine="480" w:firstLineChars="200"/>
        <w:rPr>
          <w:rFonts w:ascii="Cambria" w:hAnsi="Cambria" w:cs="Cambria"/>
          <w:sz w:val="24"/>
          <w:szCs w:val="24"/>
        </w:rPr>
      </w:pPr>
      <w:r>
        <w:rPr>
          <w:rFonts w:ascii="Cambria" w:hAnsi="Cambria" w:cs="Cambria"/>
          <w:sz w:val="24"/>
          <w:szCs w:val="24"/>
        </w:rPr>
        <w:t>b) Adding later: aromatic decoction pieces and decoction pieces containing a large amount of volatile oils shall be added 5 min to 10 min before the end of the first decoction. Decoction pieces whose active constituents are easily destroyed by prolonged decoction shall be added before the end of the second decoction.</w:t>
      </w:r>
    </w:p>
    <w:p w14:paraId="30AFAB11">
      <w:pPr>
        <w:spacing w:line="276" w:lineRule="auto"/>
        <w:ind w:firstLine="480" w:firstLineChars="200"/>
        <w:rPr>
          <w:rFonts w:ascii="Cambria" w:hAnsi="Cambria" w:cs="Cambria"/>
          <w:sz w:val="24"/>
          <w:szCs w:val="24"/>
        </w:rPr>
      </w:pPr>
      <w:r>
        <w:rPr>
          <w:rFonts w:ascii="Cambria" w:hAnsi="Cambria" w:cs="Cambria"/>
          <w:sz w:val="24"/>
          <w:szCs w:val="24"/>
        </w:rPr>
        <w:t>c) Decocting separately, or stewing separately: valuable decoction pieces shall be cut into thin slices. For separate decoction, the medicine shall be decocted twice, 1 h each time, and the medicinal liquid shall be collected. For separate stewing, drinking water equivalent to 10 times the amount of the medicine shall be added, and the medicine shall be stewed in water for 2 h to 3 h before the medicinal liquid is collected. The decocted or stewed medicinal juice shall be mixed uniformly with the other medicinal liquids before administration.</w:t>
      </w:r>
    </w:p>
    <w:p w14:paraId="4F913CF1">
      <w:pPr>
        <w:spacing w:line="276" w:lineRule="auto"/>
        <w:ind w:firstLine="480" w:firstLineChars="200"/>
        <w:rPr>
          <w:rFonts w:ascii="Cambria" w:hAnsi="Cambria" w:cs="Cambria"/>
          <w:sz w:val="24"/>
          <w:szCs w:val="24"/>
        </w:rPr>
      </w:pPr>
      <w:r>
        <w:rPr>
          <w:rFonts w:ascii="Cambria" w:hAnsi="Cambria" w:cs="Cambria"/>
          <w:sz w:val="24"/>
          <w:szCs w:val="24"/>
        </w:rPr>
        <w:t>d) Dissolving by heating: glue medicines shall be broken into pieces, added to the medicinal liquid from which the dregs have been removed after decoction of the other medicines, and decocted over gentle heat with continuous stirring until dissolved; alternatively, they may be heated and dissolved separately in yellow rice wine or drinking water and then mixed into the medicinal liquid. Easily soluble medicines may be directly dissolved in the medicinal liquid.</w:t>
      </w:r>
    </w:p>
    <w:p w14:paraId="6197FB6D">
      <w:pPr>
        <w:spacing w:line="276" w:lineRule="auto"/>
        <w:ind w:firstLine="480" w:firstLineChars="200"/>
        <w:rPr>
          <w:rFonts w:ascii="Cambria" w:hAnsi="Cambria" w:cs="Cambria"/>
          <w:sz w:val="24"/>
          <w:szCs w:val="24"/>
        </w:rPr>
      </w:pPr>
      <w:r>
        <w:rPr>
          <w:rFonts w:ascii="Cambria" w:hAnsi="Cambria" w:cs="Cambria"/>
          <w:sz w:val="24"/>
          <w:szCs w:val="24"/>
        </w:rPr>
        <w:t>e) Wrap-decocting: medicines shall be placed in a wrap-decocting bag that meets medicinal requirements, is harmless to the human body, has a filtering function, and ensures exchange of the medicinal liquid, and then decocted together with the other medicines. Medicines requiring wrap-decocting include decoction pieces containing a large amount of starch or mucilage, those that float on the liquid surface or sink to the bottom, those with villi, and those that easily make the medicinal liquid turbid.</w:t>
      </w:r>
    </w:p>
    <w:p w14:paraId="65EEE10A">
      <w:pPr>
        <w:spacing w:line="276" w:lineRule="auto"/>
        <w:ind w:firstLine="480" w:firstLineChars="200"/>
        <w:rPr>
          <w:rFonts w:ascii="Cambria" w:hAnsi="Cambria" w:cs="Cambria"/>
          <w:sz w:val="24"/>
          <w:szCs w:val="24"/>
        </w:rPr>
      </w:pPr>
      <w:r>
        <w:rPr>
          <w:rFonts w:ascii="Cambria" w:hAnsi="Cambria" w:cs="Cambria"/>
          <w:sz w:val="24"/>
          <w:szCs w:val="24"/>
        </w:rPr>
        <w:t>f) Using decoction instead of</w:t>
      </w:r>
      <w:r>
        <w:rPr>
          <w:rFonts w:hint="default" w:ascii="Cambria" w:hAnsi="Cambria" w:cs="Cambria"/>
          <w:sz w:val="24"/>
          <w:szCs w:val="24"/>
        </w:rPr>
        <w:t xml:space="preserve"> </w:t>
      </w:r>
      <w:r>
        <w:rPr>
          <w:rFonts w:ascii="Cambria" w:hAnsi="Cambria" w:cs="Cambria"/>
          <w:sz w:val="24"/>
          <w:szCs w:val="24"/>
        </w:rPr>
        <w:t>water: certain medicinal materials shall first be decocted for 15 min to 25 min. The dregs shall then be removed and the medicinal liquid collected. The obtained medicinal juice shall be used instead of drinking water to decoct the other medicines in the prescription.</w:t>
      </w:r>
    </w:p>
    <w:p w14:paraId="5ED89C0A">
      <w:pPr>
        <w:spacing w:line="276" w:lineRule="auto"/>
        <w:ind w:firstLine="480" w:firstLineChars="200"/>
        <w:rPr>
          <w:rFonts w:ascii="Cambria" w:hAnsi="Cambria" w:cs="Cambria"/>
          <w:sz w:val="24"/>
          <w:szCs w:val="24"/>
        </w:rPr>
      </w:pPr>
      <w:r>
        <w:rPr>
          <w:rFonts w:ascii="Cambria" w:hAnsi="Cambria" w:cs="Cambria"/>
          <w:sz w:val="24"/>
          <w:szCs w:val="24"/>
        </w:rPr>
        <w:t>Each dose of medicine shall be decocted twice.</w:t>
      </w:r>
    </w:p>
    <w:p w14:paraId="7BEB770E">
      <w:pPr>
        <w:spacing w:line="276" w:lineRule="auto"/>
        <w:ind w:firstLine="480" w:firstLineChars="200"/>
        <w:rPr>
          <w:rFonts w:ascii="Cambria" w:hAnsi="Cambria" w:cs="Cambria"/>
          <w:sz w:val="24"/>
          <w:szCs w:val="24"/>
        </w:rPr>
      </w:pPr>
      <w:r>
        <w:rPr>
          <w:rFonts w:ascii="Cambria" w:hAnsi="Cambria" w:cs="Cambria"/>
          <w:sz w:val="24"/>
          <w:szCs w:val="24"/>
        </w:rPr>
        <w:t>The total amount of medicinal liquid decocted from each dose for administration shall be as follows: 10 mL to 30 mL for children aged 28 days or younger; 50 mL to 100 mL for children aged from 28 days to 1 year; 150 mL to 250 mL for children aged from 1 year to 6 years; and 250 mL to 400 mL for children over 6 years of age.</w:t>
      </w:r>
    </w:p>
    <w:p w14:paraId="77D786C4">
      <w:pPr>
        <w:tabs>
          <w:tab w:val="left" w:pos="360"/>
          <w:tab w:val="left" w:pos="540"/>
        </w:tabs>
        <w:spacing w:before="156" w:beforeLines="50" w:after="156" w:afterLines="50" w:line="276" w:lineRule="auto"/>
        <w:outlineLvl w:val="1"/>
        <w:rPr>
          <w:rFonts w:ascii="Cambria" w:hAnsi="Cambria" w:eastAsia="黑体" w:cs="Cambria"/>
          <w:b/>
          <w:bCs/>
          <w:sz w:val="24"/>
          <w:szCs w:val="24"/>
        </w:rPr>
      </w:pPr>
      <w:bookmarkStart w:id="372" w:name="_Toc29010"/>
      <w:r>
        <w:rPr>
          <w:rFonts w:ascii="Cambria" w:hAnsi="Cambria" w:eastAsia="黑体" w:cs="Cambria"/>
          <w:b/>
          <w:bCs/>
          <w:sz w:val="24"/>
          <w:szCs w:val="24"/>
        </w:rPr>
        <w:t>4.2</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Methods for administering decoctions in pediatric practice</w:t>
      </w:r>
      <w:bookmarkEnd w:id="372"/>
    </w:p>
    <w:p w14:paraId="5AFE7F9F">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4.2.1  Preparation before administration</w:t>
      </w:r>
    </w:p>
    <w:p w14:paraId="5D943B23">
      <w:pPr>
        <w:spacing w:line="276" w:lineRule="auto"/>
        <w:ind w:firstLine="480" w:firstLineChars="200"/>
        <w:rPr>
          <w:rFonts w:ascii="Cambria" w:hAnsi="Cambria" w:cs="Cambria"/>
          <w:sz w:val="24"/>
          <w:szCs w:val="24"/>
        </w:rPr>
      </w:pPr>
      <w:r>
        <w:rPr>
          <w:rFonts w:ascii="Cambria" w:hAnsi="Cambria" w:cs="Cambria"/>
          <w:sz w:val="24"/>
          <w:szCs w:val="24"/>
        </w:rPr>
        <w:t>a) For children over 3 years of age, the reasons for taking the medicine should be explained as clearly as possible so that they can actively cooperate in taking the medicine.</w:t>
      </w:r>
    </w:p>
    <w:p w14:paraId="1F52A42B">
      <w:pPr>
        <w:spacing w:line="276" w:lineRule="auto"/>
        <w:ind w:firstLine="480" w:firstLineChars="200"/>
        <w:rPr>
          <w:rFonts w:ascii="Cambria" w:hAnsi="Cambria" w:cs="Cambria"/>
          <w:sz w:val="24"/>
          <w:szCs w:val="24"/>
        </w:rPr>
      </w:pPr>
      <w:r>
        <w:rPr>
          <w:rFonts w:ascii="Cambria" w:hAnsi="Cambria" w:cs="Cambria"/>
          <w:sz w:val="24"/>
          <w:szCs w:val="24"/>
        </w:rPr>
        <w:t>b) For children under 3 years of age who are unable to cooperate in taking the medicine, two persons shall work together to administer the decoction. One person shall sit down, hold the child on the lap, place the child’s legs between the person’s own legs, hold the child’s trunk and both upper limbs with both hands, and immobilize the child’s whole body. The other person shall administer the medicine.</w:t>
      </w:r>
    </w:p>
    <w:p w14:paraId="2D9EE502">
      <w:pPr>
        <w:spacing w:line="276" w:lineRule="auto"/>
        <w:ind w:firstLine="480" w:firstLineChars="200"/>
        <w:rPr>
          <w:rFonts w:ascii="Cambria" w:hAnsi="Cambria" w:cs="Cambria"/>
          <w:sz w:val="24"/>
          <w:szCs w:val="24"/>
        </w:rPr>
      </w:pPr>
      <w:r>
        <w:rPr>
          <w:rFonts w:ascii="Cambria" w:hAnsi="Cambria" w:cs="Cambria"/>
          <w:sz w:val="24"/>
          <w:szCs w:val="24"/>
        </w:rPr>
        <w:t>c) A spoon, medicine bowl or medicine-feeding device shall be placed on the table. If the medicinal liquid tastes bitter, an appropriate amount of sugar may be added. Another bowl may also be prepared with an appropriate amount of sugar water or plain boiled water.</w:t>
      </w:r>
    </w:p>
    <w:p w14:paraId="6E68BAA2">
      <w:pPr>
        <w:pStyle w:val="12"/>
        <w:snapToGrid w:val="0"/>
        <w:spacing w:before="156" w:beforeLines="50" w:after="156" w:afterLines="50" w:line="276" w:lineRule="auto"/>
        <w:jc w:val="left"/>
        <w:outlineLvl w:val="9"/>
        <w:rPr>
          <w:rFonts w:ascii="Cambria" w:hAnsi="Cambria" w:cs="Cambria"/>
          <w:b w:val="0"/>
          <w:sz w:val="24"/>
          <w:szCs w:val="24"/>
          <w:lang w:val="en-US"/>
        </w:rPr>
      </w:pPr>
      <w:r>
        <w:rPr>
          <w:rFonts w:ascii="Cambria" w:hAnsi="Cambria" w:cs="Cambria"/>
          <w:b w:val="0"/>
          <w:sz w:val="24"/>
          <w:szCs w:val="24"/>
          <w:lang w:val="en-US"/>
        </w:rPr>
        <w:t>d) The temperature of the medicinal liquid shall be appropriate, generally around 40 °C. The temperature of medicinal liquid used to induce sweating and release the exterior may be around 60 °C.</w:t>
      </w:r>
    </w:p>
    <w:p w14:paraId="6EB94443">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4.2.2  Methods of administration for children over 3 years of age</w:t>
      </w:r>
    </w:p>
    <w:p w14:paraId="0796E33C">
      <w:pPr>
        <w:spacing w:line="276" w:lineRule="auto"/>
        <w:ind w:firstLine="480" w:firstLineChars="200"/>
        <w:rPr>
          <w:rFonts w:ascii="Cambria" w:hAnsi="Cambria" w:cs="Cambria"/>
          <w:sz w:val="24"/>
          <w:szCs w:val="24"/>
        </w:rPr>
      </w:pPr>
      <w:r>
        <w:rPr>
          <w:rFonts w:ascii="Cambria" w:hAnsi="Cambria" w:cs="Cambria"/>
          <w:sz w:val="24"/>
          <w:szCs w:val="24"/>
        </w:rPr>
        <w:t>a) The child should take the medicine independently as far as possible. After taking the medicine, the child may drink an appropriate amount of sugar water or plain boiled water tto improve the taste.</w:t>
      </w:r>
    </w:p>
    <w:p w14:paraId="4C0C989E">
      <w:pPr>
        <w:spacing w:line="276" w:lineRule="auto"/>
        <w:ind w:firstLine="480" w:firstLineChars="200"/>
        <w:rPr>
          <w:rFonts w:ascii="Cambria" w:hAnsi="Cambria" w:cs="Cambria"/>
          <w:sz w:val="24"/>
          <w:szCs w:val="24"/>
        </w:rPr>
      </w:pPr>
      <w:r>
        <w:rPr>
          <w:rFonts w:ascii="Cambria" w:hAnsi="Cambria" w:cs="Cambria"/>
          <w:sz w:val="24"/>
          <w:szCs w:val="24"/>
        </w:rPr>
        <w:t>b) The medicinal liquid obtained from decocting one daily prescription twice shall be divided into 2 to 4 administrations according to the disease condition. In general, for acute diseases, the medicine shall be administered 3 to 4 times; for chronic diseases, it may be divided into 2 to 3 administrations. The number of administrations may be increased when the amount administered each time is small.</w:t>
      </w:r>
    </w:p>
    <w:p w14:paraId="0CFEE0E4">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4.2.3  Methods of administration for children aged from 28 days to 3 years</w:t>
      </w:r>
    </w:p>
    <w:p w14:paraId="453958E5">
      <w:pPr>
        <w:spacing w:line="276" w:lineRule="auto"/>
        <w:ind w:firstLine="480" w:firstLineChars="200"/>
        <w:rPr>
          <w:rFonts w:ascii="Cambria" w:hAnsi="Cambria" w:cs="Cambria"/>
          <w:sz w:val="24"/>
          <w:szCs w:val="24"/>
        </w:rPr>
      </w:pPr>
      <w:r>
        <w:rPr>
          <w:rFonts w:ascii="Cambria" w:hAnsi="Cambria" w:cs="Cambria"/>
          <w:sz w:val="24"/>
          <w:szCs w:val="24"/>
        </w:rPr>
        <w:t xml:space="preserve">For children under 3 years of age and other children who refuse to cooperate in taking the medicine, the whole body shall first be immobilized as described above in 4.2.1, and the child shall be placed in an upright or semi-upright position. The tip of the medicine-feeding device or dropper shall be inserted into the mouth near the root of the tongue, and the medicine shall be released slowly. The child shall be allowed to swallow naturally. The medicine shall not be forced down the throat, so as to avoid choking on the medicine or even suffocation. If the child vomits within 30 min, a repeat dose </w:t>
      </w:r>
      <w:r>
        <w:rPr>
          <w:rFonts w:hint="default" w:ascii="Cambria" w:hAnsi="Cambria" w:cs="Cambria"/>
          <w:sz w:val="24"/>
          <w:szCs w:val="24"/>
        </w:rPr>
        <w:t>should</w:t>
      </w:r>
      <w:r>
        <w:rPr>
          <w:rFonts w:ascii="Cambria" w:hAnsi="Cambria" w:cs="Cambria"/>
          <w:sz w:val="24"/>
          <w:szCs w:val="24"/>
        </w:rPr>
        <w:t xml:space="preserve"> be given only </w:t>
      </w:r>
      <w:r>
        <w:rPr>
          <w:rFonts w:hint="default" w:ascii="Cambria" w:hAnsi="Cambria" w:cs="Cambria"/>
          <w:sz w:val="24"/>
          <w:szCs w:val="24"/>
        </w:rPr>
        <w:t>if</w:t>
      </w:r>
      <w:r>
        <w:rPr>
          <w:rFonts w:ascii="Cambria" w:hAnsi="Cambria" w:cs="Cambria"/>
          <w:sz w:val="24"/>
          <w:szCs w:val="24"/>
        </w:rPr>
        <w:t xml:space="preserve"> less than half of the dose has been retained. If necessary, after ensuring that the full dose has been taken, an appropriate amount of plain boiled water or sugar water may be given.</w:t>
      </w:r>
    </w:p>
    <w:p w14:paraId="3C237CD3">
      <w:pPr>
        <w:pStyle w:val="12"/>
        <w:snapToGrid w:val="0"/>
        <w:spacing w:before="156" w:beforeLines="50" w:after="156" w:afterLines="50" w:line="276" w:lineRule="auto"/>
        <w:jc w:val="left"/>
        <w:outlineLvl w:val="9"/>
        <w:rPr>
          <w:rFonts w:ascii="Cambria" w:hAnsi="Cambria" w:eastAsia="黑体" w:cs="Cambria"/>
          <w:bCs/>
          <w:sz w:val="24"/>
          <w:szCs w:val="24"/>
          <w:lang w:val="en-US"/>
        </w:rPr>
      </w:pPr>
      <w:r>
        <w:rPr>
          <w:rFonts w:ascii="Cambria" w:hAnsi="Cambria" w:eastAsia="黑体" w:cs="Cambria"/>
          <w:bCs/>
          <w:sz w:val="24"/>
          <w:szCs w:val="24"/>
          <w:lang w:val="en-US"/>
        </w:rPr>
        <w:t>4.2.4  Methods of administration for children under 28 days of age</w:t>
      </w:r>
    </w:p>
    <w:p w14:paraId="6BC8DE4A">
      <w:pPr>
        <w:spacing w:line="276" w:lineRule="auto"/>
        <w:ind w:firstLine="480" w:firstLineChars="200"/>
        <w:rPr>
          <w:rFonts w:ascii="Cambria" w:hAnsi="Cambria" w:cs="Cambria"/>
          <w:sz w:val="24"/>
          <w:szCs w:val="24"/>
        </w:rPr>
      </w:pPr>
      <w:r>
        <w:rPr>
          <w:rFonts w:ascii="Cambria" w:hAnsi="Cambria" w:cs="Cambria"/>
          <w:sz w:val="24"/>
          <w:szCs w:val="24"/>
        </w:rPr>
        <w:t>The administration volume shall be controlled. For full-term neonates aged 28 days or younger, the volume shall be 3 mL to 5 mL each time. For preterm or small-for-gestational-age neonates, the volume shall be 1 mL to 3 mL each time. The total daily amount shall be divided into multiple administrations. The method of administration shall refer to that for children aged from 28 days to 3 years.</w:t>
      </w:r>
    </w:p>
    <w:p w14:paraId="03E413A6">
      <w:pPr>
        <w:tabs>
          <w:tab w:val="left" w:pos="360"/>
          <w:tab w:val="left" w:pos="540"/>
        </w:tabs>
        <w:spacing w:before="312" w:beforeLines="100" w:after="312" w:afterLines="100" w:line="276" w:lineRule="auto"/>
        <w:outlineLvl w:val="0"/>
        <w:rPr>
          <w:rFonts w:ascii="Cambria" w:hAnsi="Cambria" w:eastAsia="黑体" w:cs="Cambria"/>
          <w:b/>
          <w:bCs/>
          <w:sz w:val="24"/>
          <w:szCs w:val="24"/>
        </w:rPr>
      </w:pPr>
      <w:bookmarkStart w:id="373" w:name="_Toc30079"/>
      <w:r>
        <w:rPr>
          <w:rFonts w:ascii="Cambria" w:hAnsi="Cambria" w:eastAsia="黑体" w:cs="Cambria"/>
          <w:b/>
          <w:bCs/>
          <w:sz w:val="24"/>
          <w:szCs w:val="24"/>
        </w:rPr>
        <w:t>5 Operating procedures and requirements for oral administration of Chinese patent medicines</w:t>
      </w:r>
      <w:bookmarkEnd w:id="373"/>
    </w:p>
    <w:p w14:paraId="2B8C5E9D">
      <w:pPr>
        <w:tabs>
          <w:tab w:val="left" w:pos="360"/>
          <w:tab w:val="left" w:pos="540"/>
        </w:tabs>
        <w:spacing w:before="156" w:beforeLines="50" w:after="156" w:afterLines="50" w:line="276" w:lineRule="auto"/>
        <w:outlineLvl w:val="1"/>
        <w:rPr>
          <w:rFonts w:ascii="Cambria" w:hAnsi="Cambria" w:eastAsia="黑体" w:cs="Cambria"/>
          <w:b/>
          <w:bCs/>
          <w:sz w:val="24"/>
          <w:szCs w:val="24"/>
        </w:rPr>
      </w:pPr>
      <w:bookmarkStart w:id="374" w:name="_Toc5418"/>
      <w:r>
        <w:rPr>
          <w:rFonts w:ascii="Cambria" w:hAnsi="Cambria" w:eastAsia="黑体" w:cs="Cambria"/>
          <w:b/>
          <w:bCs/>
          <w:sz w:val="24"/>
          <w:szCs w:val="24"/>
        </w:rPr>
        <w:t>5.1</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Preparation before administration</w:t>
      </w:r>
      <w:bookmarkEnd w:id="374"/>
    </w:p>
    <w:p w14:paraId="22647B00">
      <w:pPr>
        <w:spacing w:line="276" w:lineRule="auto"/>
        <w:ind w:firstLine="480" w:firstLineChars="200"/>
        <w:rPr>
          <w:rFonts w:ascii="Cambria" w:hAnsi="Cambria" w:cs="Cambria"/>
          <w:sz w:val="24"/>
          <w:szCs w:val="24"/>
        </w:rPr>
      </w:pPr>
      <w:r>
        <w:rPr>
          <w:rFonts w:ascii="Cambria" w:hAnsi="Cambria" w:cs="Cambria"/>
          <w:sz w:val="24"/>
          <w:szCs w:val="24"/>
        </w:rPr>
        <w:t>a) For children aged 3 to 6 years, the reasons for taking the medicine should be explained as clearly as possible so that they can actively cooperate in taking the medicine.</w:t>
      </w:r>
    </w:p>
    <w:p w14:paraId="60F448E5">
      <w:pPr>
        <w:spacing w:line="276" w:lineRule="auto"/>
        <w:ind w:firstLine="480" w:firstLineChars="200"/>
        <w:rPr>
          <w:rFonts w:ascii="Cambria" w:hAnsi="Cambria" w:cs="Cambria"/>
          <w:sz w:val="24"/>
          <w:szCs w:val="24"/>
        </w:rPr>
      </w:pPr>
      <w:r>
        <w:rPr>
          <w:rFonts w:ascii="Cambria" w:hAnsi="Cambria" w:cs="Cambria"/>
          <w:sz w:val="24"/>
          <w:szCs w:val="24"/>
        </w:rPr>
        <w:t>b) For children under 3 years of age who are unable to cooperate in taking the medicine, two persons shall work together to administer the medicinal liquid. One person shall sit down, hold the child on the lap, place the child’s legs between the person’s own legs, hold the child’s trunk and both upper limbs with both hands, and immobilize the child’s whole body. The other person shall administer the medicine.</w:t>
      </w:r>
    </w:p>
    <w:p w14:paraId="14AD0BF9">
      <w:pPr>
        <w:spacing w:line="276" w:lineRule="auto"/>
        <w:ind w:firstLine="480" w:firstLineChars="200"/>
        <w:rPr>
          <w:rFonts w:ascii="Cambria" w:hAnsi="Cambria" w:cs="Cambria"/>
          <w:sz w:val="24"/>
          <w:szCs w:val="24"/>
        </w:rPr>
      </w:pPr>
      <w:r>
        <w:rPr>
          <w:rFonts w:ascii="Cambria" w:hAnsi="Cambria" w:cs="Cambria"/>
          <w:sz w:val="24"/>
          <w:szCs w:val="24"/>
        </w:rPr>
        <w:t xml:space="preserve">c) A spoon, the medicine, or a medicine-feeding device for administering liquid preparations shall be placed on the table. Another bowl </w:t>
      </w:r>
      <w:r>
        <w:rPr>
          <w:rFonts w:hint="default" w:ascii="Cambria" w:hAnsi="Cambria" w:cs="Cambria"/>
          <w:sz w:val="24"/>
          <w:szCs w:val="24"/>
        </w:rPr>
        <w:t>should</w:t>
      </w:r>
      <w:r>
        <w:rPr>
          <w:rFonts w:ascii="Cambria" w:hAnsi="Cambria" w:cs="Cambria"/>
          <w:sz w:val="24"/>
          <w:szCs w:val="24"/>
        </w:rPr>
        <w:t xml:space="preserve"> be prepared with an appropriate amount of sugar water or warm boiled water.</w:t>
      </w:r>
    </w:p>
    <w:p w14:paraId="68145688">
      <w:pPr>
        <w:tabs>
          <w:tab w:val="left" w:pos="360"/>
          <w:tab w:val="left" w:pos="540"/>
        </w:tabs>
        <w:spacing w:before="156" w:beforeLines="50" w:after="156" w:afterLines="50" w:line="276" w:lineRule="auto"/>
        <w:outlineLvl w:val="1"/>
        <w:rPr>
          <w:rFonts w:ascii="Cambria" w:hAnsi="Cambria" w:eastAsia="黑体" w:cs="Cambria"/>
          <w:b/>
          <w:bCs/>
          <w:sz w:val="24"/>
          <w:szCs w:val="24"/>
        </w:rPr>
      </w:pPr>
      <w:bookmarkStart w:id="375" w:name="_Toc20420"/>
      <w:r>
        <w:rPr>
          <w:rFonts w:ascii="Cambria" w:hAnsi="Cambria" w:eastAsia="黑体" w:cs="Cambria"/>
          <w:b/>
          <w:bCs/>
          <w:sz w:val="24"/>
          <w:szCs w:val="24"/>
        </w:rPr>
        <w:t>5.2</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Methods of administration</w:t>
      </w:r>
      <w:bookmarkEnd w:id="375"/>
    </w:p>
    <w:p w14:paraId="1756A494">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5.2.1  General</w:t>
      </w:r>
    </w:p>
    <w:p w14:paraId="235FAC73">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The medicine shall be prepared by a nurse or a parent. If the liquid medicine is thick, an appropriate amount of warm boiled water shall be added for dilution.</w:t>
      </w:r>
    </w:p>
    <w:p w14:paraId="59B20B81">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Children aged 3 years or older should take the medicine independently as far as possible. After taking the medicine, the child may drink an appropriate amount of plain boiled water or sugar water.</w:t>
      </w:r>
    </w:p>
    <w:p w14:paraId="37681D78">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c) For children under 3 years of age, the whole body shall first be immobilized as described above in 5.1, and the child shall be placed in an upright or semi-upright position. The tip of a syringe or dropper shall be placed at the side of the mouth, between the cheek and the gum, and the medicine shall be released slowly. The child shall be allowed to swallow naturally. The medicine shall not be forced down the throat, so as to avoid suffocation. If the child vomits within 30 min, a repeat dose shall be given only when less than half of the dose has been retained. If necessary, after ensuring that the full dose has been taken, an appropriate amount of plain boiled water or sugar water may be given.</w:t>
      </w:r>
    </w:p>
    <w:p w14:paraId="43D39838">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5.2.2  Methods of administration for mixtures(oral liquids)</w:t>
      </w:r>
    </w:p>
    <w:p w14:paraId="0DC99718">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The single-dose amount of the mixture shall be poured into a spoon or drawn into a medicine-feeding device, and administered according to the methods of administration.</w:t>
      </w:r>
    </w:p>
    <w:p w14:paraId="47110151">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For children aged 3 years or older, and for children under 3 years of age who can use a straw, the oral liquid may be taken directly through a straw.</w:t>
      </w:r>
    </w:p>
    <w:p w14:paraId="1E19225B">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5.2.3  Methods of administration for syrups</w:t>
      </w:r>
    </w:p>
    <w:p w14:paraId="5C8C74BD">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single-dose amount of the syrup shall be poured into a spoon or drawn into a medicine-feeding device, and administered according to the methods of administration.</w:t>
      </w:r>
    </w:p>
    <w:p w14:paraId="1FD7A422">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5.2.4  Methods of administration for fluidextracts</w:t>
      </w:r>
    </w:p>
    <w:p w14:paraId="2C58E882">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single-dose amount of the fluidextract shall be poured into a spoon or drawn into a medicine-feeding device. An appropriate amount of warm boiled water may be added for dilution, and the medicine shall be administered according to the methods of administration.</w:t>
      </w:r>
    </w:p>
    <w:p w14:paraId="1CEB42B1">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5.2.5  Methods of administration for tinctures</w:t>
      </w:r>
    </w:p>
    <w:p w14:paraId="46F0001A">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single-dose amount of the tincture shall be poured into a spoon or drawn into a medicine-feeding device. If the amount of medicine is small, an appropriate amount of warm boiled water may be added for dilution. The medicine shall be administered according to the methods of administration.</w:t>
      </w:r>
    </w:p>
    <w:p w14:paraId="35968FB3">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5.2.6  Methods of administration for emulsions</w:t>
      </w:r>
    </w:p>
    <w:p w14:paraId="520AAC3D">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single-dose amount of the emulsion shall be poured into a spoon or drawn into a medicine-feeding device. If the amount of medicine is small, an appropriate amount of warm boiled water may be added for dilution. The medicine shall be administered according to the methods of administration.</w:t>
      </w:r>
    </w:p>
    <w:p w14:paraId="37AEADA1">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5.2.7  Methods of administration for distillates</w:t>
      </w:r>
    </w:p>
    <w:p w14:paraId="05905239">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single-dose amount of the distillate shall be poured into a spoon or drawn into a medicine-feeding device. If the amount of medicine is small, an appropriate amount of warm boiled water may be added for dilution. The medicine shall be administered according to the methods of administration.</w:t>
      </w:r>
    </w:p>
    <w:p w14:paraId="1D71CE31">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5.2.8  Methods of administration for electuaries</w:t>
      </w:r>
    </w:p>
    <w:p w14:paraId="552FF9C4">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single-dose amount of the electuary shall be placed into a cup, diluted with an appropriate amount of warm boiled water, and administered according to the methods of administration.</w:t>
      </w:r>
    </w:p>
    <w:p w14:paraId="5D10339F">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5.2.9  Methods of administration for granules</w:t>
      </w:r>
    </w:p>
    <w:p w14:paraId="70369486">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The single-dose amount of granules shall be placed into a cup. An appropriate amount of warm boiled water shall be added, and the granules shall be stirred with a spoon until dissolved.</w:t>
      </w:r>
    </w:p>
    <w:p w14:paraId="70169A0E">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The medicinal liquid shall be poured into a spoon or drawn into a medicine-feeding device, and administered according to the methods of administration.</w:t>
      </w:r>
    </w:p>
    <w:p w14:paraId="7E9A67E5">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b w:val="0"/>
          <w:bCs/>
          <w:sz w:val="24"/>
          <w:szCs w:val="24"/>
          <w:lang w:val="en-US"/>
        </w:rPr>
      </w:pPr>
      <w:r>
        <w:rPr>
          <w:rFonts w:ascii="Cambria" w:hAnsi="Cambria" w:eastAsia="黑体" w:cs="Cambria"/>
          <w:b w:val="0"/>
          <w:bCs/>
          <w:sz w:val="24"/>
          <w:szCs w:val="24"/>
          <w:lang w:val="en-US"/>
        </w:rPr>
        <w:t>5.2.10  Methods of administration for tablets, including lozenges and chewable tablets</w:t>
      </w:r>
    </w:p>
    <w:p w14:paraId="7AE6779D">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Children aged 6 years or older may take tablets directly, followed immediately by warm boiled water to aid swallowing. Large tablets may be broken into several small pieces and taken separately.</w:t>
      </w:r>
    </w:p>
    <w:p w14:paraId="7D66F29B">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For lozenges, the child shall be instructed not to swallow the lozenge immediately. The lozenge shall be held in the mouth and allowed to dissolve slowly.</w:t>
      </w:r>
    </w:p>
    <w:p w14:paraId="6A0B5A21">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c) For chewable tablets, the child shall be instructed to place the tablet in the mouth and chew or suck it until it dissolves, and then swallow it.</w:t>
      </w:r>
    </w:p>
    <w:p w14:paraId="7195A590">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d) For children aged 3 to 6 years taking tablets, the tablet shall first be broken into several small pieces, placed one by one into the child’s mouth, and then taken with warm boiled water.</w:t>
      </w:r>
    </w:p>
    <w:p w14:paraId="67E23412">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e) For children under 3 years of age taking tablets, the tablet shall first be crushed into powder, mixed with warm boiled water into a paste, and then administered.</w:t>
      </w:r>
    </w:p>
    <w:p w14:paraId="4D75B4BE">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eastAsia="黑体" w:cs="Cambria"/>
          <w:sz w:val="24"/>
          <w:szCs w:val="24"/>
        </w:rPr>
        <w:t>Note: Lozenges, chewable tablets and effervescent tablets are not recommended for children under 6 years of age.</w:t>
      </w:r>
    </w:p>
    <w:p w14:paraId="1CA57134">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5.2.11  Methods of administration for capsules</w:t>
      </w:r>
    </w:p>
    <w:p w14:paraId="620DF03D">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Children aged 6 years or older may take capsules directly, followed immediately by warm boiled water to aid swallowing.</w:t>
      </w:r>
    </w:p>
    <w:p w14:paraId="6BDE9039">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Children under 6 years of age should not take capsules directly. When capsules must be taken, the powder in the capsule, or the liquid in a soft capsule, may be removed or squeezed out and mixed with water for administration. If the capsule is an enteric-coated capsule, it shall not be opened for administration of its contents.</w:t>
      </w:r>
    </w:p>
    <w:p w14:paraId="0D26CC16">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5.2.12  Methods of administration for powders</w:t>
      </w:r>
    </w:p>
    <w:p w14:paraId="027060AC">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The powder shall be mixed with an appropriate amount of warm boiled water and poured into a spoon or drawn into a medicine-feeding device. If the powder is not easily mixed with water, an appropriate amount of honey may be used instead and mixed with the powder in a spoon. The medicine shall be administered according to the methods of administration.</w:t>
      </w:r>
    </w:p>
    <w:p w14:paraId="4A7A8FC2">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5.2.13  Methods of administration for pills, including concentrated pills and dripping pills</w:t>
      </w:r>
    </w:p>
    <w:p w14:paraId="56C14035">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Children aged 6 years or older may take pills directly, followed immediately by warm boiled water to aid swallowing. Large pills may be broken into several small pieces or crushed, mixed with an appropriate amount of warm boiled water, and administered according to the methods of administration.</w:t>
      </w:r>
    </w:p>
    <w:p w14:paraId="22AA66A5">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Children under 6 years of age may take only small pills, such as concentrated pills, dripping pills and micro-pills. Children under 3 years of age may take only micro-pills. The method of administration shall be the same as above.</w:t>
      </w:r>
    </w:p>
    <w:p w14:paraId="12BD0E7E">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5.2.14  Methods of administration for cake medicines</w:t>
      </w:r>
    </w:p>
    <w:p w14:paraId="09636E9D">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The cake medicine shall be dissolved in hot water into a paste, stewed, and then taken.</w:t>
      </w:r>
    </w:p>
    <w:p w14:paraId="17DC4A49">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Children aged 3 years or older may also take it dry, that is, by chewing and swallowing it directly.</w:t>
      </w:r>
    </w:p>
    <w:p w14:paraId="40B3EF2B">
      <w:pPr>
        <w:pStyle w:val="12"/>
        <w:keepNext w:val="0"/>
        <w:keepLines w:val="0"/>
        <w:pageBreakBefore w:val="0"/>
        <w:widowControl w:val="0"/>
        <w:kinsoku/>
        <w:wordWrap/>
        <w:overflowPunct/>
        <w:topLinePunct w:val="0"/>
        <w:autoSpaceDE/>
        <w:autoSpaceDN/>
        <w:bidi w:val="0"/>
        <w:adjustRightInd/>
        <w:snapToGrid w:val="0"/>
        <w:spacing w:before="156" w:beforeLines="50" w:after="156" w:afterLines="50" w:line="276" w:lineRule="auto"/>
        <w:jc w:val="left"/>
        <w:textAlignment w:val="auto"/>
        <w:outlineLvl w:val="9"/>
        <w:rPr>
          <w:rFonts w:ascii="Cambria" w:hAnsi="Cambria" w:eastAsia="黑体" w:cs="Cambria"/>
          <w:sz w:val="24"/>
          <w:szCs w:val="24"/>
          <w:lang w:val="en-US"/>
        </w:rPr>
      </w:pPr>
      <w:r>
        <w:rPr>
          <w:rFonts w:ascii="Cambria" w:hAnsi="Cambria" w:eastAsia="黑体" w:cs="Cambria"/>
          <w:sz w:val="24"/>
          <w:szCs w:val="24"/>
          <w:lang w:val="en-US"/>
        </w:rPr>
        <w:t>5.2.15  Methods of administration for glues</w:t>
      </w:r>
    </w:p>
    <w:p w14:paraId="585501A5">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a) When a glue is used in a compound decoction, the glue block may first be broken into pieces or ground into powder, poured into hot water and stirred continuously to accelerate dissolution, and then poured into the prepared medicinal liquid and mixed uniformly. Alternatively, it may be poured directly into the hot medicinal liquid and dissolved. The medicine shall then be administered according to the methods of administration.</w:t>
      </w:r>
    </w:p>
    <w:p w14:paraId="5CDED260">
      <w:pPr>
        <w:keepNext w:val="0"/>
        <w:keepLines w:val="0"/>
        <w:pageBreakBefore w:val="0"/>
        <w:widowControl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b) When a glue is taken alone, the glue block may first be broken into pieces or ground into powder, placed into a small bowl or cup, and mixed with an appropriate amount of hot water. The bowl or cup shall then be placed in a pot and stewed in a water bath, with the water in the bowl or cup maintained at around the boiling point and stirred continuously until dissolved. The medicine shall then be administered according to the methods of administration.</w:t>
      </w:r>
    </w:p>
    <w:p w14:paraId="539CCEF2">
      <w:pPr>
        <w:tabs>
          <w:tab w:val="left" w:pos="360"/>
          <w:tab w:val="left" w:pos="540"/>
        </w:tabs>
        <w:spacing w:before="312" w:beforeLines="100" w:after="312" w:afterLines="100" w:line="276" w:lineRule="auto"/>
        <w:outlineLvl w:val="0"/>
        <w:rPr>
          <w:rFonts w:ascii="Cambria" w:hAnsi="Cambria" w:eastAsia="黑体" w:cs="Cambria"/>
          <w:b/>
          <w:bCs/>
          <w:sz w:val="24"/>
          <w:szCs w:val="24"/>
        </w:rPr>
      </w:pPr>
      <w:bookmarkStart w:id="376" w:name="_Toc14487"/>
      <w:r>
        <w:rPr>
          <w:rFonts w:ascii="Cambria" w:hAnsi="Cambria" w:eastAsia="黑体" w:cs="Cambria"/>
          <w:b/>
          <w:bCs/>
          <w:sz w:val="24"/>
          <w:szCs w:val="24"/>
        </w:rPr>
        <w:t>6 Operating procedures and requirements for nasogastric gavage administration of Chinese medicines</w:t>
      </w:r>
      <w:bookmarkEnd w:id="376"/>
    </w:p>
    <w:p w14:paraId="2AD85D35">
      <w:pPr>
        <w:spacing w:line="276" w:lineRule="auto"/>
        <w:ind w:left="210" w:right="210" w:firstLine="480" w:firstLineChars="200"/>
        <w:rPr>
          <w:rFonts w:ascii="Cambria" w:hAnsi="Cambria" w:cs="Cambria"/>
          <w:sz w:val="24"/>
          <w:szCs w:val="24"/>
        </w:rPr>
      </w:pPr>
      <w:r>
        <w:rPr>
          <w:rFonts w:ascii="Cambria" w:hAnsi="Cambria" w:cs="Cambria"/>
          <w:sz w:val="24"/>
          <w:szCs w:val="24"/>
        </w:rPr>
        <w:t>This method is applicable to children who are unable to eat or take medicines orally due to coma, dysphagia or other conditions. Operators shall comply with the legal and regulatory requirements of the country or region where they practise regarding such invasive procedures.</w:t>
      </w:r>
    </w:p>
    <w:p w14:paraId="0C5EB8E9">
      <w:pPr>
        <w:keepNext w:val="0"/>
        <w:keepLines w:val="0"/>
        <w:pageBreakBefore w:val="0"/>
        <w:widowControl w:val="0"/>
        <w:tabs>
          <w:tab w:val="left" w:pos="360"/>
          <w:tab w:val="left" w:pos="540"/>
        </w:tabs>
        <w:kinsoku/>
        <w:wordWrap/>
        <w:overflowPunct/>
        <w:topLinePunct w:val="0"/>
        <w:autoSpaceDE/>
        <w:autoSpaceDN/>
        <w:bidi w:val="0"/>
        <w:adjustRightInd/>
        <w:snapToGrid/>
        <w:spacing w:before="156" w:beforeLines="50" w:after="156" w:afterLines="50" w:line="276" w:lineRule="auto"/>
        <w:textAlignment w:val="auto"/>
        <w:outlineLvl w:val="1"/>
        <w:rPr>
          <w:rFonts w:ascii="Cambria" w:hAnsi="Cambria" w:eastAsia="黑体" w:cs="Cambria"/>
          <w:b/>
          <w:bCs/>
          <w:sz w:val="24"/>
          <w:szCs w:val="24"/>
        </w:rPr>
      </w:pPr>
      <w:bookmarkStart w:id="377" w:name="_Toc24945"/>
      <w:r>
        <w:rPr>
          <w:rFonts w:ascii="Cambria" w:hAnsi="Cambria" w:eastAsia="黑体" w:cs="Cambria"/>
          <w:b/>
          <w:bCs/>
          <w:sz w:val="24"/>
          <w:szCs w:val="24"/>
        </w:rPr>
        <w:t>6.2</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Operating methods</w:t>
      </w:r>
      <w:bookmarkEnd w:id="377"/>
    </w:p>
    <w:p w14:paraId="019C2A75">
      <w:pPr>
        <w:pStyle w:val="12"/>
        <w:snapToGrid w:val="0"/>
        <w:spacing w:before="156" w:beforeLines="50" w:after="156" w:afterLines="50" w:line="276" w:lineRule="auto"/>
        <w:jc w:val="left"/>
        <w:outlineLvl w:val="9"/>
        <w:rPr>
          <w:rFonts w:ascii="Cambria" w:hAnsi="Cambria" w:eastAsia="黑体" w:cs="Cambria"/>
          <w:bCs/>
          <w:spacing w:val="8"/>
          <w:kern w:val="0"/>
          <w:sz w:val="24"/>
          <w:szCs w:val="24"/>
          <w:lang w:val="en-US"/>
        </w:rPr>
      </w:pPr>
      <w:r>
        <w:rPr>
          <w:rFonts w:ascii="Cambria" w:hAnsi="Cambria" w:eastAsia="黑体" w:cs="Cambria"/>
          <w:bCs/>
          <w:spacing w:val="8"/>
          <w:kern w:val="0"/>
          <w:sz w:val="24"/>
          <w:szCs w:val="24"/>
          <w:lang w:val="en-US"/>
        </w:rPr>
        <w:t>6.2.1  Nasogastric tube insertion</w:t>
      </w:r>
    </w:p>
    <w:p w14:paraId="405D4577">
      <w:pPr>
        <w:spacing w:line="276" w:lineRule="auto"/>
        <w:ind w:firstLine="480" w:firstLineChars="200"/>
        <w:rPr>
          <w:rFonts w:ascii="Cambria" w:hAnsi="Cambria" w:cs="Cambria"/>
          <w:sz w:val="24"/>
          <w:szCs w:val="24"/>
        </w:rPr>
      </w:pPr>
      <w:r>
        <w:rPr>
          <w:rFonts w:ascii="Cambria" w:hAnsi="Cambria" w:cs="Cambria"/>
          <w:sz w:val="24"/>
          <w:szCs w:val="24"/>
        </w:rPr>
        <w:t>a) Before operation, the nasogastric tube shall be checked for patency. Approximately 10 cm to 15 cm of the anterior section of the nasogastric tube shall be lubricated with liquid paraffin gauze.</w:t>
      </w:r>
    </w:p>
    <w:p w14:paraId="74B8D5CE">
      <w:pPr>
        <w:spacing w:line="276" w:lineRule="auto"/>
        <w:ind w:firstLine="480" w:firstLineChars="200"/>
        <w:rPr>
          <w:rFonts w:ascii="Cambria" w:hAnsi="Cambria" w:cs="Cambria"/>
          <w:sz w:val="24"/>
          <w:szCs w:val="24"/>
        </w:rPr>
      </w:pPr>
      <w:r>
        <w:rPr>
          <w:rFonts w:ascii="Cambria" w:hAnsi="Cambria" w:cs="Cambria"/>
          <w:sz w:val="24"/>
          <w:szCs w:val="24"/>
        </w:rPr>
        <w:t>b) The operator shall stand on the right side of the child. With one hand, the operator shall support the nasogastric tube with gauze; with the other hand, the operator shall hold the nasogastric tube with forceps and gently insert it through one nostril of the child. When the tube reaches the pharynx, the child may experience nausea. The operator shall communicate with and comfort the child in a timely manner, instruct older children to swallow, and slowly insert the nasogastric tube at the same time.</w:t>
      </w:r>
    </w:p>
    <w:p w14:paraId="238934A8">
      <w:pPr>
        <w:spacing w:line="276" w:lineRule="auto"/>
        <w:ind w:firstLine="480" w:firstLineChars="200"/>
        <w:rPr>
          <w:rFonts w:ascii="Cambria" w:hAnsi="Cambria" w:cs="Cambria"/>
          <w:sz w:val="24"/>
          <w:szCs w:val="24"/>
        </w:rPr>
      </w:pPr>
      <w:r>
        <w:rPr>
          <w:rFonts w:ascii="Cambria" w:hAnsi="Cambria" w:cs="Cambria"/>
          <w:sz w:val="24"/>
          <w:szCs w:val="24"/>
        </w:rPr>
        <w:t>c) If choking cough, dyspnea or cyanosis occurs, this indicates that the tube has mistakenly entered the airway. The tube shall be removed immediately, and reinsertion shall be performed after the child has rested briefly. If insertion is not smooth or resistance is encountered, advancement shall be stopped, and the operator shall check whether the nasogastric tube is coiled in the mouth. Alternatively, the nasogastric tube may be withdrawn slightly, by 1 cm to 2 cm, and then slowly reinserted after adjusting the direction and slightly rotating the tube. Forcible advancement shall not be performed. If the child develops respiratory distress, the operation shall be stopped immediately.</w:t>
      </w:r>
    </w:p>
    <w:p w14:paraId="2DCA8092">
      <w:pPr>
        <w:spacing w:line="276" w:lineRule="auto"/>
        <w:ind w:firstLine="480" w:firstLineChars="200"/>
        <w:rPr>
          <w:rFonts w:ascii="Cambria" w:hAnsi="Cambria" w:cs="Cambria"/>
          <w:sz w:val="24"/>
          <w:szCs w:val="24"/>
        </w:rPr>
      </w:pPr>
      <w:r>
        <w:rPr>
          <w:rFonts w:ascii="Cambria" w:hAnsi="Cambria" w:cs="Cambria"/>
          <w:sz w:val="24"/>
          <w:szCs w:val="24"/>
        </w:rPr>
        <w:t>d) In comatose children, the swallowing reflex and cough reflex are absent, and cooperation is not possible. To improve the success rate of tube insertion, the rapid tube insertion method with two-pillow head support may be used. The pillow shall first be removed, and the child shall be placed supine. When the nasogastric tube is inserted to the epiglottis, two pillows shall be placed under the child’s head so that the lower jaw is as close as possible to the sternal manubrium. Changes in the child’s condition shall be closely observed. After the pulse and respiration return to a stable state, tube insertion may be continued. The tube shall be inserted rapidly with both hands used alternately, and the movements shall be gentle. At the same time, both hands shall slightly twist the nasogastric tube in the same direction to increase its rigidity, so that the tip of the tube slides along the posterior wall of the pharynx and esophagus into the stomach.</w:t>
      </w:r>
    </w:p>
    <w:p w14:paraId="36838859">
      <w:pPr>
        <w:spacing w:line="276" w:lineRule="auto"/>
        <w:ind w:firstLine="480" w:firstLineChars="200"/>
        <w:rPr>
          <w:rFonts w:ascii="Cambria" w:hAnsi="Cambria" w:cs="Cambria"/>
          <w:sz w:val="24"/>
          <w:szCs w:val="24"/>
        </w:rPr>
      </w:pPr>
      <w:r>
        <w:rPr>
          <w:rFonts w:ascii="Cambria" w:hAnsi="Cambria" w:cs="Cambria"/>
          <w:sz w:val="24"/>
          <w:szCs w:val="24"/>
        </w:rPr>
        <w:t>e) The insertion length of the nasogastric tube shall be measured from the glabella of the child to the midpoint between the xiphoid process and the umbilicus. This length allows the tube to reach the body and antrum of the stomach, and enables effective detection of gastric contents.</w:t>
      </w:r>
    </w:p>
    <w:p w14:paraId="5A18A57C">
      <w:pPr>
        <w:spacing w:line="276" w:lineRule="auto"/>
        <w:ind w:firstLine="480" w:firstLineChars="200"/>
        <w:rPr>
          <w:rFonts w:ascii="Cambria" w:hAnsi="Cambria" w:cs="Cambria"/>
          <w:sz w:val="24"/>
          <w:szCs w:val="24"/>
        </w:rPr>
      </w:pPr>
      <w:r>
        <w:rPr>
          <w:rFonts w:ascii="Cambria" w:hAnsi="Cambria" w:cs="Cambria"/>
          <w:sz w:val="24"/>
          <w:szCs w:val="24"/>
        </w:rPr>
        <w:t>f) After the tube has been inserted to the predetermined length, aspiration of gastric fluid for pH measurement is the preferred method. A pH value of 1 to 5.5 confirms that the nasogastric tube is in the stomach. X-ray examination is the gold standard for verifying position and may be used for confirmation when necessary. Auscultation of air insufflation sounds, the bubble observation method, and absence of respiratory distress in the child is not recommended as a sole confirmation method. If it is confirmed that the tube is not in the stomach, reinsertion shall be performed.</w:t>
      </w:r>
    </w:p>
    <w:p w14:paraId="2ACC82A9">
      <w:pPr>
        <w:spacing w:line="276" w:lineRule="auto"/>
        <w:ind w:firstLine="480" w:firstLineChars="200"/>
        <w:rPr>
          <w:rFonts w:ascii="Cambria" w:hAnsi="Cambria" w:cs="Cambria"/>
          <w:sz w:val="24"/>
          <w:szCs w:val="24"/>
        </w:rPr>
      </w:pPr>
      <w:r>
        <w:rPr>
          <w:rFonts w:ascii="Cambria" w:hAnsi="Cambria" w:cs="Cambria"/>
          <w:sz w:val="24"/>
          <w:szCs w:val="24"/>
        </w:rPr>
        <w:t>g) The nasogastric tube shall be fixed to the nasal ala or cheek with adhesive tape. Because the adhesive tape may fall off due to sweating or oil secretion around the child’s nose, turning over or movement of the child, the nasogastric tube may become dislodged. The nasogastric tube may also be secured by tying it firmly with a thin thread and fastening it behind the child’s ear or to the occipital region. The skin behind the child’s ear shall be observed regularly.</w:t>
      </w:r>
    </w:p>
    <w:p w14:paraId="2ACF2AD5">
      <w:pPr>
        <w:spacing w:line="276" w:lineRule="auto"/>
        <w:ind w:firstLine="480" w:firstLineChars="200"/>
        <w:rPr>
          <w:rFonts w:ascii="Cambria" w:hAnsi="Cambria" w:cs="Cambria"/>
          <w:sz w:val="24"/>
          <w:szCs w:val="24"/>
        </w:rPr>
      </w:pPr>
      <w:r>
        <w:rPr>
          <w:rFonts w:ascii="Cambria" w:hAnsi="Cambria" w:cs="Cambria"/>
          <w:sz w:val="24"/>
          <w:szCs w:val="24"/>
        </w:rPr>
        <w:t>h) The bedsheet shall be arranged, the used supplies shall be cleared, and the syringe shall be washed and placed in the treatment bowl, covered with gauze for later use.</w:t>
      </w:r>
    </w:p>
    <w:p w14:paraId="47C1FD73">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6.2.2  Nasogastric gavage of Chinese medicines</w:t>
      </w:r>
    </w:p>
    <w:p w14:paraId="52188B49">
      <w:pPr>
        <w:spacing w:line="276" w:lineRule="auto"/>
        <w:ind w:firstLine="480" w:firstLineChars="200"/>
        <w:rPr>
          <w:rFonts w:ascii="Cambria" w:hAnsi="Cambria" w:cs="Cambria"/>
          <w:sz w:val="24"/>
          <w:szCs w:val="24"/>
        </w:rPr>
      </w:pPr>
      <w:r>
        <w:rPr>
          <w:rFonts w:ascii="Cambria" w:hAnsi="Cambria" w:cs="Cambria"/>
          <w:sz w:val="24"/>
          <w:szCs w:val="24"/>
        </w:rPr>
        <w:t>a) The prepared Chinese medicine decoction or Chinese patent medicine shall be drawn into a syringe and slowly injected through the nasogastric tube. Liquid preparations shall be appropriately diluted. Solid preparations shall be dissolved in warm boiled water. Solid preparations that cannot be dissolved shall not be used for nasogastric gavage.</w:t>
      </w:r>
    </w:p>
    <w:p w14:paraId="50F4F7BB">
      <w:pPr>
        <w:spacing w:line="276" w:lineRule="auto"/>
        <w:ind w:firstLine="480" w:firstLineChars="200"/>
        <w:rPr>
          <w:rFonts w:ascii="Cambria" w:hAnsi="Cambria" w:cs="Cambria"/>
          <w:sz w:val="24"/>
          <w:szCs w:val="24"/>
        </w:rPr>
      </w:pPr>
      <w:r>
        <w:rPr>
          <w:rFonts w:ascii="Cambria" w:hAnsi="Cambria" w:cs="Cambria"/>
          <w:sz w:val="24"/>
          <w:szCs w:val="24"/>
        </w:rPr>
        <w:t>b) The medicinal liquid shall be cooled to 38 °C to 40 °C, measured and confirmed with a water thermometer before injection. If the temperature of the medicinal liquid for nasogastric gavage is too high or too low, it may cause scalding or cold injury to the mucosa.</w:t>
      </w:r>
    </w:p>
    <w:p w14:paraId="280E8858">
      <w:pPr>
        <w:spacing w:line="276" w:lineRule="auto"/>
        <w:ind w:firstLine="480" w:firstLineChars="200"/>
        <w:rPr>
          <w:rFonts w:ascii="Cambria" w:hAnsi="Cambria" w:cs="Cambria"/>
          <w:sz w:val="24"/>
          <w:szCs w:val="24"/>
        </w:rPr>
      </w:pPr>
      <w:r>
        <w:rPr>
          <w:rFonts w:ascii="Cambria" w:hAnsi="Cambria" w:cs="Cambria"/>
          <w:sz w:val="24"/>
          <w:szCs w:val="24"/>
        </w:rPr>
        <w:t>c) Before each nasogastric gavage, excess gastric fluid shall first be aspirated, and then the medicinal liquid shall be injected. The volume of medicinal liquid for each nasogastric gavage shall refer to the dosage for administering decoctions in pediatric practice, and shall not exceed 50 mL to 100 mL. For children under 28 days of age, the volume shall be 3 mL to 5 mL each time. For</w:t>
      </w:r>
      <w:r>
        <w:rPr>
          <w:rFonts w:hint="default" w:ascii="Cambria" w:hAnsi="Cambria" w:cs="Cambria"/>
          <w:sz w:val="24"/>
          <w:szCs w:val="24"/>
        </w:rPr>
        <w:t xml:space="preserve"> </w:t>
      </w:r>
      <w:r>
        <w:rPr>
          <w:rFonts w:ascii="Cambria" w:hAnsi="Cambria" w:cs="Cambria"/>
          <w:sz w:val="24"/>
          <w:szCs w:val="24"/>
        </w:rPr>
        <w:t>preterm or small-for-gestational-age neonates, the volume shall be 1 mL to 3 mL each time. The daily amount of medicine shall be divided into 3 to 5 gavage administrations, with intervals that are approximately equal and not less than 2 h.</w:t>
      </w:r>
    </w:p>
    <w:p w14:paraId="06F3798A">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6.2.3  Post-operation care</w:t>
      </w:r>
    </w:p>
    <w:p w14:paraId="503A730F">
      <w:pPr>
        <w:spacing w:line="276" w:lineRule="auto"/>
        <w:ind w:firstLine="480" w:firstLineChars="200"/>
        <w:rPr>
          <w:rFonts w:ascii="Cambria" w:hAnsi="Cambria" w:cs="Cambria"/>
          <w:sz w:val="24"/>
          <w:szCs w:val="24"/>
        </w:rPr>
      </w:pPr>
      <w:r>
        <w:rPr>
          <w:rFonts w:ascii="Cambria" w:hAnsi="Cambria" w:cs="Cambria"/>
          <w:sz w:val="24"/>
          <w:szCs w:val="24"/>
        </w:rPr>
        <w:t>After nasogastric gavage, the nasogastric tube shall be flushed with warm water. The flushing volume is generally 10 mL to 20 mL; for children aged 28 days or younger, 3 mL to 5 mL of warm water is recommended., so as to prevent medicine residue from fermenting or deteriorating in the nasogastric tube, causing gastroenteritis in the child or blocking the lumen of the tube. The end of the nasogastric tube shall be capped and fixed, wrapped with gauze, tied tightly with a rubber band, and secured with a safety pin to the bedsheet, beside the pillow or to the child’s collar. The original lying position shall be maintained for 20 min to 30 min.</w:t>
      </w:r>
    </w:p>
    <w:p w14:paraId="5D28BEA7">
      <w:pPr>
        <w:spacing w:line="276" w:lineRule="auto"/>
        <w:ind w:firstLine="480" w:firstLineChars="200"/>
        <w:rPr>
          <w:rFonts w:ascii="Cambria" w:hAnsi="Cambria" w:cs="Cambria"/>
          <w:sz w:val="24"/>
          <w:szCs w:val="24"/>
        </w:rPr>
      </w:pPr>
      <w:r>
        <w:rPr>
          <w:rFonts w:ascii="Cambria" w:hAnsi="Cambria" w:cs="Cambria"/>
          <w:sz w:val="24"/>
          <w:szCs w:val="24"/>
        </w:rPr>
        <w:t>The child’s response and the volume of nasogastric gavage shall be recorded.</w:t>
      </w:r>
    </w:p>
    <w:p w14:paraId="701E2F76">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6.2.4  Tube removal</w:t>
      </w:r>
    </w:p>
    <w:p w14:paraId="18C31561">
      <w:pPr>
        <w:spacing w:line="276" w:lineRule="auto"/>
        <w:ind w:firstLine="480" w:firstLineChars="200"/>
        <w:rPr>
          <w:rFonts w:ascii="Cambria" w:hAnsi="Cambria" w:cs="Cambria"/>
          <w:sz w:val="24"/>
          <w:szCs w:val="24"/>
        </w:rPr>
      </w:pPr>
      <w:r>
        <w:rPr>
          <w:rFonts w:ascii="Cambria" w:hAnsi="Cambria" w:cs="Cambria"/>
          <w:sz w:val="24"/>
          <w:szCs w:val="24"/>
        </w:rPr>
        <w:t>Tube removal is applicable when nasogastric gavage is discontinued or when the nasogastric tube needs to be replaced during long-term nasogastric gavage.</w:t>
      </w:r>
    </w:p>
    <w:p w14:paraId="006382D8">
      <w:pPr>
        <w:spacing w:line="276" w:lineRule="auto"/>
        <w:ind w:firstLine="480" w:firstLineChars="200"/>
        <w:rPr>
          <w:rFonts w:ascii="Cambria" w:hAnsi="Cambria" w:cs="Cambria"/>
          <w:sz w:val="24"/>
          <w:szCs w:val="24"/>
        </w:rPr>
      </w:pPr>
      <w:r>
        <w:rPr>
          <w:rFonts w:ascii="Cambria" w:hAnsi="Cambria" w:cs="Cambria"/>
          <w:sz w:val="24"/>
          <w:szCs w:val="24"/>
        </w:rPr>
        <w:t>a) A dressing bowl shall be prepared and brought to the child’s bedside. Psychological care shall be provided to the child, and cooperation shall be obtained as far as possible.</w:t>
      </w:r>
    </w:p>
    <w:p w14:paraId="5807BFDE">
      <w:pPr>
        <w:spacing w:line="276" w:lineRule="auto"/>
        <w:ind w:firstLine="480" w:firstLineChars="200"/>
        <w:rPr>
          <w:rFonts w:ascii="Cambria" w:hAnsi="Cambria" w:cs="Cambria"/>
          <w:sz w:val="24"/>
          <w:szCs w:val="24"/>
        </w:rPr>
      </w:pPr>
      <w:r>
        <w:rPr>
          <w:rFonts w:ascii="Cambria" w:hAnsi="Cambria" w:cs="Cambria"/>
          <w:sz w:val="24"/>
          <w:szCs w:val="24"/>
        </w:rPr>
        <w:t>b) The kidney tray shall be placed under the child’s chin, and the fixation materials shall be removed.</w:t>
      </w:r>
    </w:p>
    <w:p w14:paraId="138EC4BF">
      <w:pPr>
        <w:spacing w:line="276" w:lineRule="auto"/>
        <w:ind w:firstLine="480" w:firstLineChars="200"/>
        <w:rPr>
          <w:rFonts w:ascii="Cambria" w:hAnsi="Cambria" w:cs="Cambria"/>
          <w:sz w:val="24"/>
          <w:szCs w:val="24"/>
        </w:rPr>
      </w:pPr>
      <w:r>
        <w:rPr>
          <w:rFonts w:ascii="Cambria" w:hAnsi="Cambria" w:cs="Cambria"/>
          <w:sz w:val="24"/>
          <w:szCs w:val="24"/>
        </w:rPr>
        <w:t>c) The operator shall wear sterile gloves and wrap the nasogastric tube at the nostril with gauze. The child shall be instructed to take deep breaths. When the child exhales slowly, the tube shall be gently removed in one continuous movement, and the nasogastric tube wrapped with gauze shall be placed in the kidney tray. For comatose children, when the tube is withdrawn to the pharynx and throat, the nasogastric tube shall be folded back and removed quickly to prevent liquid from dripping into the airway.</w:t>
      </w:r>
    </w:p>
    <w:p w14:paraId="447CB16C">
      <w:pPr>
        <w:spacing w:line="276" w:lineRule="auto"/>
        <w:ind w:firstLine="480" w:firstLineChars="200"/>
        <w:rPr>
          <w:rFonts w:ascii="Cambria" w:hAnsi="Cambria" w:cs="Cambria"/>
          <w:sz w:val="24"/>
          <w:szCs w:val="24"/>
        </w:rPr>
      </w:pPr>
      <w:r>
        <w:rPr>
          <w:rFonts w:ascii="Cambria" w:hAnsi="Cambria" w:cs="Cambria"/>
          <w:sz w:val="24"/>
          <w:szCs w:val="24"/>
        </w:rPr>
        <w:t>d) The child’s mouth, nose and face shall be cleaned, adhesive tape marks shall be wiped off, the child shall be assisted in rinsing the mouth, a comfortable lying position shall be adopted, the bedsheet shall be arranged, and the used supplies shall be cleared.</w:t>
      </w:r>
    </w:p>
    <w:p w14:paraId="1F6427C1">
      <w:pPr>
        <w:spacing w:line="276" w:lineRule="auto"/>
        <w:ind w:firstLine="480" w:firstLineChars="200"/>
        <w:rPr>
          <w:rFonts w:ascii="Cambria" w:hAnsi="Cambria" w:cs="Cambria"/>
          <w:sz w:val="24"/>
          <w:szCs w:val="24"/>
        </w:rPr>
      </w:pPr>
      <w:r>
        <w:rPr>
          <w:rFonts w:ascii="Cambria" w:hAnsi="Cambria" w:cs="Cambria"/>
          <w:sz w:val="24"/>
          <w:szCs w:val="24"/>
        </w:rPr>
        <w:t>e) The time of tube removal and the child’s response shall be recorded promptly in the nursing record.</w:t>
      </w:r>
    </w:p>
    <w:p w14:paraId="1B273B0C">
      <w:pPr>
        <w:spacing w:line="276" w:lineRule="auto"/>
        <w:ind w:firstLine="480" w:firstLineChars="200"/>
        <w:rPr>
          <w:rFonts w:ascii="Cambria" w:hAnsi="Cambria" w:cs="Cambria"/>
          <w:sz w:val="24"/>
          <w:szCs w:val="24"/>
        </w:rPr>
      </w:pPr>
      <w:r>
        <w:rPr>
          <w:rFonts w:ascii="Cambria" w:hAnsi="Cambria" w:cs="Cambria"/>
          <w:sz w:val="24"/>
          <w:szCs w:val="24"/>
        </w:rPr>
        <w:t>f) When replacing the nasogastric tube for a child, the tube shall be removed after the last nasogastric gavage at night, and a new tube shall be inserted through the other nostril before nasogastric gavage the next morning.</w:t>
      </w:r>
    </w:p>
    <w:p w14:paraId="1BEE74A6">
      <w:pPr>
        <w:spacing w:line="276" w:lineRule="auto"/>
        <w:ind w:firstLine="480" w:firstLineChars="200"/>
        <w:rPr>
          <w:rFonts w:ascii="Cambria" w:hAnsi="Cambria" w:cs="Cambria"/>
          <w:sz w:val="24"/>
          <w:szCs w:val="24"/>
        </w:rPr>
      </w:pPr>
      <w:r>
        <w:rPr>
          <w:rFonts w:ascii="Cambria" w:hAnsi="Cambria" w:cs="Cambria"/>
          <w:sz w:val="24"/>
          <w:szCs w:val="24"/>
        </w:rPr>
        <w:t>g) During nasogastric gavage, aseptic operation shall be ensured, and the instruments shall be kept clean. Gauze and syringes shall be replaced once daily.</w:t>
      </w:r>
    </w:p>
    <w:p w14:paraId="7DDE96D9">
      <w:pPr>
        <w:spacing w:line="276" w:lineRule="auto"/>
        <w:ind w:firstLine="480" w:firstLineChars="200"/>
        <w:rPr>
          <w:rFonts w:ascii="Cambria" w:hAnsi="Cambria" w:cs="Cambria"/>
          <w:sz w:val="24"/>
          <w:szCs w:val="24"/>
        </w:rPr>
      </w:pPr>
      <w:r>
        <w:rPr>
          <w:rFonts w:ascii="Cambria" w:hAnsi="Cambria" w:cs="Cambria"/>
          <w:sz w:val="24"/>
          <w:szCs w:val="24"/>
        </w:rPr>
        <w:t>h) Oral care shall be provided to the child daily to keep the oral cavity clean and prevent oral infection.</w:t>
      </w:r>
    </w:p>
    <w:p w14:paraId="733B9F5C">
      <w:pPr>
        <w:spacing w:line="276" w:lineRule="auto"/>
        <w:ind w:firstLine="480" w:firstLineChars="200"/>
        <w:rPr>
          <w:rFonts w:ascii="Cambria" w:hAnsi="Cambria" w:cs="Cambria"/>
          <w:sz w:val="24"/>
          <w:szCs w:val="24"/>
        </w:rPr>
      </w:pPr>
      <w:r>
        <w:rPr>
          <w:rFonts w:ascii="Cambria" w:hAnsi="Cambria" w:cs="Cambria"/>
          <w:sz w:val="24"/>
          <w:szCs w:val="24"/>
        </w:rPr>
        <w:t>Replacement intervals for indwelling nasogastric tubes:</w:t>
      </w:r>
    </w:p>
    <w:p w14:paraId="4DFEA112">
      <w:pPr>
        <w:spacing w:line="276" w:lineRule="auto"/>
        <w:ind w:firstLine="480" w:firstLineChars="200"/>
        <w:rPr>
          <w:rFonts w:ascii="Cambria" w:hAnsi="Cambria" w:cs="Cambria"/>
          <w:sz w:val="24"/>
          <w:szCs w:val="24"/>
        </w:rPr>
      </w:pPr>
      <w:r>
        <w:rPr>
          <w:rFonts w:ascii="Cambria" w:hAnsi="Cambria" w:cs="Cambria"/>
          <w:sz w:val="24"/>
          <w:szCs w:val="24"/>
        </w:rPr>
        <w:t>a) Prolonged indwelling of the nasogastric tube, or the material of the nasogastric tube itself, may cause adhesion between the tube and the mucosa. Pressure of the nasogastric tube on the mucosa may also lead to ischemic necrosis of the mucosa. For children with long-term indwelling nasogastric tubes, the replacement interval shall be determined by referring to the manufacturer’s packaging guidelines.</w:t>
      </w:r>
    </w:p>
    <w:p w14:paraId="197A8715">
      <w:pPr>
        <w:spacing w:line="276" w:lineRule="auto"/>
        <w:ind w:firstLine="480" w:firstLineChars="200"/>
        <w:rPr>
          <w:rFonts w:ascii="Cambria" w:hAnsi="Cambria" w:cs="Cambria"/>
          <w:sz w:val="24"/>
          <w:szCs w:val="24"/>
        </w:rPr>
      </w:pPr>
      <w:r>
        <w:rPr>
          <w:rFonts w:ascii="Cambria" w:hAnsi="Cambria" w:cs="Cambria"/>
          <w:sz w:val="24"/>
          <w:szCs w:val="24"/>
        </w:rPr>
        <w:t>b) In the absence of the manufacturer’s recommendations, PVC tubes shall be replaced once every 4 weeks, silicone tubes once every 21 d to 30 d, polyurethane tubes once every 8 weeks, and other nasogastric tubes generally once every 7 d. Liquid paraffin and other oily lubricants shall not be used for polyurethane tubes; warm boiled water shall be used for lubrication. After operation, tube care shall be strengthened to maintain patency of the nasogastric tube, reduce irritation of the nasopharyngeal mucosa caused by repeated tube insertion, relieve the child’s discomfort, and reduce the chance of infection.</w:t>
      </w:r>
    </w:p>
    <w:p w14:paraId="2BE2D9D8">
      <w:pPr>
        <w:spacing w:line="276" w:lineRule="auto"/>
        <w:ind w:firstLine="480" w:firstLineChars="200"/>
        <w:rPr>
          <w:rFonts w:ascii="Cambria" w:hAnsi="Cambria" w:cs="Cambria"/>
          <w:sz w:val="24"/>
          <w:szCs w:val="24"/>
        </w:rPr>
      </w:pPr>
      <w:r>
        <w:rPr>
          <w:rFonts w:ascii="Cambria" w:hAnsi="Cambria" w:cs="Cambria"/>
          <w:sz w:val="24"/>
          <w:szCs w:val="24"/>
        </w:rPr>
        <w:t>c) For conscious children who are able to communicate, more communication shall be provided, health education shall be conducted, and knowledge of catheter care shall be introduced. The child shall be informed to reduce forceful coughing and expectoration as far as possible, and to hold the nasogastric tube with the hand when coughing to prevent dislodgement of the tube.</w:t>
      </w:r>
    </w:p>
    <w:p w14:paraId="397AC36D">
      <w:pPr>
        <w:tabs>
          <w:tab w:val="left" w:pos="360"/>
          <w:tab w:val="left" w:pos="540"/>
        </w:tabs>
        <w:spacing w:before="312" w:beforeLines="100" w:after="312" w:afterLines="100" w:line="276" w:lineRule="auto"/>
        <w:outlineLvl w:val="0"/>
        <w:rPr>
          <w:rFonts w:ascii="Cambria" w:hAnsi="Cambria" w:eastAsia="黑体" w:cs="Cambria"/>
          <w:b/>
          <w:bCs/>
          <w:sz w:val="24"/>
          <w:szCs w:val="24"/>
        </w:rPr>
      </w:pPr>
      <w:bookmarkStart w:id="378" w:name="_Toc22411"/>
      <w:r>
        <w:rPr>
          <w:rFonts w:ascii="Cambria" w:hAnsi="Cambria" w:eastAsia="黑体" w:cs="Cambria"/>
          <w:b/>
          <w:bCs/>
          <w:sz w:val="24"/>
          <w:szCs w:val="24"/>
        </w:rPr>
        <w:t>7</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Operating procedures and requirements for rectal administration of Chinese medicines</w:t>
      </w:r>
      <w:bookmarkEnd w:id="378"/>
    </w:p>
    <w:p w14:paraId="753C6916">
      <w:pPr>
        <w:tabs>
          <w:tab w:val="left" w:pos="360"/>
          <w:tab w:val="left" w:pos="540"/>
        </w:tabs>
        <w:spacing w:before="156" w:beforeLines="50" w:after="156" w:afterLines="50" w:line="276" w:lineRule="auto"/>
        <w:outlineLvl w:val="1"/>
        <w:rPr>
          <w:rFonts w:ascii="Cambria" w:hAnsi="Cambria" w:eastAsia="黑体" w:cs="Cambria"/>
          <w:b/>
          <w:bCs/>
          <w:sz w:val="24"/>
          <w:szCs w:val="24"/>
        </w:rPr>
      </w:pPr>
      <w:bookmarkStart w:id="379" w:name="_Toc8618"/>
      <w:r>
        <w:rPr>
          <w:rFonts w:ascii="Cambria" w:hAnsi="Cambria" w:eastAsia="黑体" w:cs="Cambria"/>
          <w:b/>
          <w:bCs/>
          <w:sz w:val="24"/>
          <w:szCs w:val="24"/>
        </w:rPr>
        <w:t>7.1</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Preparation before operation</w:t>
      </w:r>
      <w:bookmarkEnd w:id="379"/>
    </w:p>
    <w:p w14:paraId="39F68455">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7.1.1  Instruments and medicinal liquid</w:t>
      </w:r>
    </w:p>
    <w:p w14:paraId="3B42C3D9">
      <w:pPr>
        <w:spacing w:line="276" w:lineRule="auto"/>
        <w:ind w:firstLine="480" w:firstLineChars="200"/>
        <w:rPr>
          <w:rFonts w:ascii="Cambria" w:hAnsi="Cambria" w:cs="Cambria"/>
          <w:sz w:val="24"/>
          <w:szCs w:val="24"/>
        </w:rPr>
      </w:pPr>
      <w:r>
        <w:rPr>
          <w:rFonts w:ascii="Cambria" w:hAnsi="Cambria" w:cs="Cambria"/>
          <w:sz w:val="24"/>
          <w:szCs w:val="24"/>
        </w:rPr>
        <w:t>a) The treatment tray shall contain an anal tube, forceps, sterile gloves, a 50 mL syringe, gauze, a treatment towel, a rubber sheet, liquid paraffin, cotton swabs, adhesive tape, toilet paper, warm water, the prepared medicinal liquid to be administered, medicine storage vessels and other necessary items.</w:t>
      </w:r>
    </w:p>
    <w:p w14:paraId="0567F41E">
      <w:pPr>
        <w:spacing w:line="276" w:lineRule="auto"/>
        <w:ind w:firstLine="480" w:firstLineChars="200"/>
        <w:rPr>
          <w:rFonts w:ascii="Cambria" w:hAnsi="Cambria" w:cs="Cambria"/>
          <w:sz w:val="24"/>
          <w:szCs w:val="24"/>
        </w:rPr>
      </w:pPr>
      <w:r>
        <w:rPr>
          <w:rFonts w:ascii="Cambria" w:hAnsi="Cambria" w:cs="Cambria"/>
          <w:sz w:val="24"/>
          <w:szCs w:val="24"/>
        </w:rPr>
        <w:t>b) The anal tube and the instruments directly in contact with it shall be disinfected before use.</w:t>
      </w:r>
    </w:p>
    <w:p w14:paraId="0660DFDF">
      <w:pPr>
        <w:spacing w:line="276" w:lineRule="auto"/>
        <w:ind w:firstLine="480" w:firstLineChars="200"/>
        <w:rPr>
          <w:rFonts w:ascii="Cambria" w:hAnsi="Cambria" w:cs="Cambria"/>
          <w:sz w:val="24"/>
          <w:szCs w:val="24"/>
        </w:rPr>
      </w:pPr>
      <w:r>
        <w:rPr>
          <w:rFonts w:ascii="Cambria" w:hAnsi="Cambria" w:cs="Cambria"/>
          <w:sz w:val="24"/>
          <w:szCs w:val="24"/>
        </w:rPr>
        <w:t>c) If the prepared medicinal liquid is to be used for</w:t>
      </w:r>
      <w:r>
        <w:rPr>
          <w:rFonts w:hint="default" w:ascii="Cambria" w:hAnsi="Cambria" w:cs="Cambria"/>
          <w:sz w:val="24"/>
          <w:szCs w:val="24"/>
        </w:rPr>
        <w:t xml:space="preserve"> </w:t>
      </w:r>
      <w:r>
        <w:rPr>
          <w:rFonts w:ascii="Cambria" w:hAnsi="Cambria" w:cs="Cambria"/>
          <w:sz w:val="24"/>
          <w:szCs w:val="24"/>
        </w:rPr>
        <w:t>rectal infusion administration, it shall be placed in a treatment bowl. If it is to be used for rectoclysis, it shall be placed in a disposable infusion set, and an infusion tube without a metal puncture needle shall be inserted.</w:t>
      </w:r>
    </w:p>
    <w:p w14:paraId="7A8338E8">
      <w:pPr>
        <w:spacing w:line="276" w:lineRule="auto"/>
        <w:ind w:firstLine="480" w:firstLineChars="200"/>
        <w:rPr>
          <w:rFonts w:ascii="Cambria" w:hAnsi="Cambria" w:cs="Cambria"/>
          <w:sz w:val="24"/>
          <w:szCs w:val="24"/>
        </w:rPr>
      </w:pPr>
      <w:r>
        <w:rPr>
          <w:rFonts w:ascii="Cambria" w:hAnsi="Cambria" w:cs="Cambria"/>
          <w:sz w:val="24"/>
          <w:szCs w:val="24"/>
        </w:rPr>
        <w:t>d) The temperature of the prepared medicinal liquid should be 39 °C to 41 °C.</w:t>
      </w:r>
    </w:p>
    <w:p w14:paraId="63B8337A">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7.1.2  Environment</w:t>
      </w:r>
    </w:p>
    <w:p w14:paraId="26CEEE48">
      <w:pPr>
        <w:spacing w:line="276" w:lineRule="auto"/>
        <w:ind w:firstLine="480" w:firstLineChars="200"/>
        <w:rPr>
          <w:rFonts w:ascii="Cambria" w:hAnsi="Cambria" w:cs="Cambria"/>
          <w:sz w:val="24"/>
          <w:szCs w:val="24"/>
        </w:rPr>
      </w:pPr>
      <w:r>
        <w:rPr>
          <w:rFonts w:ascii="Cambria" w:hAnsi="Cambria" w:cs="Cambria"/>
          <w:sz w:val="24"/>
          <w:szCs w:val="24"/>
        </w:rPr>
        <w:t>Doors and windows shall be closed. The room shall be clean and hygienic, with an appropriate temperature and bright lighting, and shall be kept quiet.</w:t>
      </w:r>
    </w:p>
    <w:p w14:paraId="14FBA8BA">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7.1.3  Position of the child</w:t>
      </w:r>
    </w:p>
    <w:p w14:paraId="791F12D2">
      <w:pPr>
        <w:spacing w:line="276" w:lineRule="auto"/>
        <w:ind w:firstLine="480" w:firstLineChars="200"/>
        <w:rPr>
          <w:rFonts w:ascii="Cambria" w:hAnsi="Cambria" w:cs="Cambria"/>
          <w:sz w:val="24"/>
          <w:szCs w:val="24"/>
        </w:rPr>
      </w:pPr>
      <w:r>
        <w:rPr>
          <w:rFonts w:ascii="Cambria" w:hAnsi="Cambria" w:cs="Cambria"/>
          <w:sz w:val="24"/>
          <w:szCs w:val="24"/>
        </w:rPr>
        <w:t>The child shall remove the trousers and be placed in the left lateral position, with both knees flexed, the buttocks raised by 5 cm, and the operation area fully exposed. Children under 3 years of age may be placed in the prone position, lying prone on the parent’s legs or on the bed.</w:t>
      </w:r>
    </w:p>
    <w:p w14:paraId="40EA24FC">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7.1.4  Pre-operation care</w:t>
      </w:r>
    </w:p>
    <w:p w14:paraId="52769882">
      <w:pPr>
        <w:spacing w:line="276" w:lineRule="auto"/>
        <w:ind w:firstLine="480" w:firstLineChars="200"/>
        <w:rPr>
          <w:rFonts w:ascii="Cambria" w:hAnsi="Cambria" w:cs="Cambria"/>
          <w:sz w:val="24"/>
          <w:szCs w:val="24"/>
        </w:rPr>
      </w:pPr>
      <w:r>
        <w:rPr>
          <w:rFonts w:ascii="Cambria" w:hAnsi="Cambria" w:cs="Cambria"/>
          <w:sz w:val="24"/>
          <w:szCs w:val="24"/>
        </w:rPr>
        <w:t>a) Before enema administration, the child shall be asked to empty the bowels and bladder as far as possible. If necessary, the intestinal tract shall be cleaned first. The child’s emotions shall be kept stable.</w:t>
      </w:r>
    </w:p>
    <w:p w14:paraId="7AF1F21E">
      <w:pPr>
        <w:spacing w:line="276" w:lineRule="auto"/>
        <w:ind w:firstLine="480" w:firstLineChars="200"/>
        <w:rPr>
          <w:rFonts w:ascii="Cambria" w:hAnsi="Cambria" w:cs="Cambria"/>
          <w:sz w:val="24"/>
          <w:szCs w:val="24"/>
        </w:rPr>
      </w:pPr>
      <w:r>
        <w:rPr>
          <w:rFonts w:ascii="Cambria" w:hAnsi="Cambria" w:cs="Cambria"/>
          <w:sz w:val="24"/>
          <w:szCs w:val="24"/>
        </w:rPr>
        <w:t>b) The instruments and supplies shall be prepared and brought to the child’s bedside.</w:t>
      </w:r>
    </w:p>
    <w:p w14:paraId="3BEA3E98">
      <w:pPr>
        <w:spacing w:line="276" w:lineRule="auto"/>
        <w:ind w:firstLine="480" w:firstLineChars="200"/>
        <w:rPr>
          <w:rFonts w:ascii="Cambria" w:hAnsi="Cambria" w:cs="Cambria"/>
          <w:sz w:val="24"/>
          <w:szCs w:val="24"/>
        </w:rPr>
      </w:pPr>
      <w:r>
        <w:rPr>
          <w:rFonts w:ascii="Cambria" w:hAnsi="Cambria" w:cs="Cambria"/>
          <w:sz w:val="24"/>
          <w:szCs w:val="24"/>
        </w:rPr>
        <w:t>c) For conscious children aged 3 years or older, psychological care shall be provided. The significance of the treatment and the precautions shall be explained, and psychological comfort and encouragement shall be given to relieve the child’s nervousness and fear, so as to obtain active cooperation from the child and the parents in the operation as far as possible.</w:t>
      </w:r>
    </w:p>
    <w:p w14:paraId="7C1EAD0F">
      <w:pPr>
        <w:spacing w:line="276" w:lineRule="auto"/>
        <w:ind w:firstLine="480" w:firstLineChars="200"/>
        <w:rPr>
          <w:rFonts w:ascii="Cambria" w:hAnsi="Cambria" w:cs="Cambria"/>
          <w:sz w:val="24"/>
          <w:szCs w:val="24"/>
        </w:rPr>
      </w:pPr>
      <w:r>
        <w:rPr>
          <w:rFonts w:ascii="Cambria" w:hAnsi="Cambria" w:cs="Cambria"/>
          <w:sz w:val="24"/>
          <w:szCs w:val="24"/>
        </w:rPr>
        <w:t>d) For children who are unable to cooperate, the parents may assist before the operation by holding the child in an appropriate position.</w:t>
      </w:r>
    </w:p>
    <w:p w14:paraId="6031AC7B">
      <w:pPr>
        <w:spacing w:line="276" w:lineRule="auto"/>
        <w:ind w:firstLine="480" w:firstLineChars="200"/>
        <w:rPr>
          <w:rFonts w:ascii="Cambria" w:hAnsi="Cambria" w:cs="Cambria"/>
          <w:sz w:val="24"/>
          <w:szCs w:val="24"/>
        </w:rPr>
      </w:pPr>
      <w:r>
        <w:rPr>
          <w:rFonts w:ascii="Cambria" w:hAnsi="Cambria" w:cs="Cambria"/>
          <w:sz w:val="24"/>
          <w:szCs w:val="24"/>
        </w:rPr>
        <w:t>e) The operator shall stand on the right side of the child and prepare for the operation.</w:t>
      </w:r>
    </w:p>
    <w:p w14:paraId="2149B8EE">
      <w:pPr>
        <w:spacing w:line="276" w:lineRule="auto"/>
        <w:ind w:firstLine="480" w:firstLineChars="200"/>
        <w:rPr>
          <w:rFonts w:ascii="Cambria" w:hAnsi="Cambria" w:cs="Cambria"/>
          <w:sz w:val="24"/>
          <w:szCs w:val="24"/>
        </w:rPr>
      </w:pPr>
      <w:r>
        <w:rPr>
          <w:rFonts w:ascii="Cambria" w:hAnsi="Cambria" w:cs="Cambria"/>
          <w:sz w:val="24"/>
          <w:szCs w:val="24"/>
        </w:rPr>
        <w:t>f) A treatment towel and rubber sheet shall be placed under the child’s buttocks, and the treatment tray shall be placed beside the buttocks.</w:t>
      </w:r>
    </w:p>
    <w:p w14:paraId="05F01453">
      <w:pPr>
        <w:spacing w:line="276" w:lineRule="auto"/>
        <w:ind w:firstLine="480" w:firstLineChars="200"/>
        <w:rPr>
          <w:rFonts w:ascii="Cambria" w:hAnsi="Cambria" w:cs="Cambria"/>
          <w:sz w:val="24"/>
          <w:szCs w:val="24"/>
        </w:rPr>
      </w:pPr>
      <w:r>
        <w:rPr>
          <w:rFonts w:ascii="Cambria" w:hAnsi="Cambria" w:cs="Cambria"/>
          <w:sz w:val="24"/>
          <w:szCs w:val="24"/>
        </w:rPr>
        <w:t>g) The operator shall wear sterile gloves.</w:t>
      </w:r>
    </w:p>
    <w:p w14:paraId="1A6877F0">
      <w:pPr>
        <w:spacing w:line="276" w:lineRule="auto"/>
        <w:ind w:firstLine="480" w:firstLineChars="200"/>
        <w:rPr>
          <w:rFonts w:ascii="Cambria" w:hAnsi="Cambria" w:cs="Cambria"/>
          <w:sz w:val="24"/>
          <w:szCs w:val="24"/>
        </w:rPr>
      </w:pPr>
      <w:r>
        <w:rPr>
          <w:rFonts w:ascii="Cambria" w:hAnsi="Cambria" w:cs="Cambria"/>
          <w:sz w:val="24"/>
          <w:szCs w:val="24"/>
        </w:rPr>
        <w:t>h) The child’s anus and surrounding skin shall be cleaned.</w:t>
      </w:r>
    </w:p>
    <w:p w14:paraId="246F5E25">
      <w:pPr>
        <w:tabs>
          <w:tab w:val="left" w:pos="360"/>
          <w:tab w:val="left" w:pos="540"/>
        </w:tabs>
        <w:spacing w:before="156" w:beforeLines="50" w:after="156" w:afterLines="50" w:line="276" w:lineRule="auto"/>
        <w:outlineLvl w:val="1"/>
        <w:rPr>
          <w:rFonts w:ascii="Cambria" w:hAnsi="Cambria" w:eastAsia="黑体" w:cs="Cambria"/>
          <w:b/>
          <w:bCs/>
          <w:sz w:val="24"/>
          <w:szCs w:val="24"/>
        </w:rPr>
      </w:pPr>
      <w:bookmarkStart w:id="380" w:name="_Toc13493"/>
      <w:r>
        <w:rPr>
          <w:rFonts w:ascii="Cambria" w:hAnsi="Cambria" w:eastAsia="黑体" w:cs="Cambria"/>
          <w:b/>
          <w:bCs/>
          <w:sz w:val="24"/>
          <w:szCs w:val="24"/>
        </w:rPr>
        <w:t>7.2</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Operating methods</w:t>
      </w:r>
      <w:bookmarkEnd w:id="380"/>
    </w:p>
    <w:p w14:paraId="4C601277">
      <w:pPr>
        <w:widowControl/>
        <w:snapToGrid w:val="0"/>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7.2.1  Rectal infusion administration of Chinese medicines</w:t>
      </w:r>
    </w:p>
    <w:p w14:paraId="341A0857">
      <w:pPr>
        <w:spacing w:line="276" w:lineRule="auto"/>
        <w:ind w:firstLine="480" w:firstLineChars="200"/>
        <w:rPr>
          <w:rFonts w:ascii="Cambria" w:hAnsi="Cambria" w:cs="Cambria"/>
          <w:sz w:val="24"/>
          <w:szCs w:val="24"/>
        </w:rPr>
      </w:pPr>
      <w:r>
        <w:rPr>
          <w:rFonts w:ascii="Cambria" w:hAnsi="Cambria" w:cs="Cambria"/>
          <w:sz w:val="24"/>
          <w:szCs w:val="24"/>
        </w:rPr>
        <w:t>a) The operator shall select an anal tube of an appropriate size, apply liquid paraffin to it, and gently insert it through the anus into the child’s intestinal tract. The insertion depth shall be approximately 10 cm to 15 cm according to the child’s age.</w:t>
      </w:r>
    </w:p>
    <w:p w14:paraId="635068EE">
      <w:pPr>
        <w:spacing w:line="276" w:lineRule="auto"/>
        <w:ind w:firstLine="480" w:firstLineChars="200"/>
        <w:rPr>
          <w:rFonts w:ascii="Cambria" w:hAnsi="Cambria" w:cs="Cambria"/>
          <w:sz w:val="24"/>
          <w:szCs w:val="24"/>
        </w:rPr>
      </w:pPr>
      <w:r>
        <w:rPr>
          <w:rFonts w:ascii="Cambria" w:hAnsi="Cambria" w:cs="Cambria"/>
          <w:sz w:val="24"/>
          <w:szCs w:val="24"/>
        </w:rPr>
        <w:t>b) A 50 mL syringe shall be used to draw up the medicinal liquid and connected to the anal tube. The medicinal liquid shall be slowly injected at a rate of 10 mL per minute.</w:t>
      </w:r>
    </w:p>
    <w:p w14:paraId="3A60C2A7">
      <w:pPr>
        <w:spacing w:line="276" w:lineRule="auto"/>
        <w:ind w:firstLine="480" w:firstLineChars="200"/>
        <w:rPr>
          <w:rFonts w:ascii="Cambria" w:hAnsi="Cambria" w:cs="Cambria"/>
          <w:sz w:val="24"/>
          <w:szCs w:val="24"/>
        </w:rPr>
      </w:pPr>
      <w:r>
        <w:rPr>
          <w:rFonts w:ascii="Cambria" w:hAnsi="Cambria" w:cs="Cambria"/>
          <w:sz w:val="24"/>
          <w:szCs w:val="24"/>
        </w:rPr>
        <w:t>c) After injection of the medicinal liquid is completed, 5 mL to 10 mL of warm boiled water shall be injected. The outer end of the anal tube shall be raised, and the anal tube shall be wrapped with toilet paper and removed. The anal tube shall be placed in the kidney tray, and the anus shall be wiped clean.</w:t>
      </w:r>
    </w:p>
    <w:p w14:paraId="45EB6959">
      <w:pPr>
        <w:spacing w:line="276" w:lineRule="auto"/>
        <w:ind w:firstLine="480" w:firstLineChars="200"/>
        <w:rPr>
          <w:rFonts w:ascii="Cambria" w:hAnsi="Cambria" w:cs="Cambria"/>
          <w:sz w:val="24"/>
          <w:szCs w:val="24"/>
        </w:rPr>
      </w:pPr>
      <w:r>
        <w:rPr>
          <w:rFonts w:ascii="Cambria" w:hAnsi="Cambria" w:cs="Cambria"/>
          <w:sz w:val="24"/>
          <w:szCs w:val="24"/>
        </w:rPr>
        <w:t>d) After infusion is completed, the buttocks shall be raised, and the child shall remain lying quietly for 30 min. If defecation occurs within 30 min and the medicinal liquid is discharged together with stool, the treatment may be regarded as ineffective, and enema treatment shall be repeated.</w:t>
      </w:r>
    </w:p>
    <w:p w14:paraId="72AEC1E8">
      <w:pPr>
        <w:widowControl/>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7.2.2  Rectoclysis of Chinese medicines</w:t>
      </w:r>
    </w:p>
    <w:p w14:paraId="3CEA8EC3">
      <w:pPr>
        <w:spacing w:line="276" w:lineRule="auto"/>
        <w:ind w:firstLine="480" w:firstLineChars="200"/>
        <w:rPr>
          <w:rFonts w:ascii="Cambria" w:hAnsi="Cambria" w:cs="Cambria"/>
          <w:sz w:val="24"/>
          <w:szCs w:val="24"/>
        </w:rPr>
      </w:pPr>
      <w:r>
        <w:rPr>
          <w:rFonts w:ascii="Cambria" w:hAnsi="Cambria" w:cs="Cambria"/>
          <w:sz w:val="24"/>
          <w:szCs w:val="24"/>
        </w:rPr>
        <w:t>a) The infusion bottle containing the Chinese medicinal liquid shall be hung on an infusion stand.</w:t>
      </w:r>
    </w:p>
    <w:p w14:paraId="2740A239">
      <w:pPr>
        <w:spacing w:line="276" w:lineRule="auto"/>
        <w:ind w:firstLine="480" w:firstLineChars="200"/>
        <w:rPr>
          <w:rFonts w:ascii="Cambria" w:hAnsi="Cambria" w:cs="Cambria"/>
          <w:sz w:val="24"/>
          <w:szCs w:val="24"/>
        </w:rPr>
      </w:pPr>
      <w:r>
        <w:rPr>
          <w:rFonts w:ascii="Cambria" w:hAnsi="Cambria" w:cs="Cambria"/>
          <w:sz w:val="24"/>
          <w:szCs w:val="24"/>
        </w:rPr>
        <w:t>b) After the anterior end of the infusion tube is lubricated, it shall be gently inserted through the anus into the intestinal tract. The insertion depth shall be approximately 10 cm to 15 cm according to the child’s age.</w:t>
      </w:r>
    </w:p>
    <w:p w14:paraId="0471C58C">
      <w:pPr>
        <w:spacing w:line="276" w:lineRule="auto"/>
        <w:ind w:firstLine="480" w:firstLineChars="200"/>
        <w:rPr>
          <w:rFonts w:ascii="Cambria" w:hAnsi="Cambria" w:cs="Cambria"/>
          <w:sz w:val="24"/>
          <w:szCs w:val="24"/>
        </w:rPr>
      </w:pPr>
      <w:r>
        <w:rPr>
          <w:rFonts w:ascii="Cambria" w:hAnsi="Cambria" w:cs="Cambria"/>
          <w:sz w:val="24"/>
          <w:szCs w:val="24"/>
        </w:rPr>
        <w:t>c) The switch on the infusion tube shall be opened so that the medicinal liquid drips through the infusion tube into the child’s intestinal tract. The drip rate shall be adjusted and maintained at 30 to 40 drops per minute.</w:t>
      </w:r>
    </w:p>
    <w:p w14:paraId="6BACA665">
      <w:pPr>
        <w:spacing w:line="276" w:lineRule="auto"/>
        <w:ind w:firstLine="480" w:firstLineChars="200"/>
        <w:rPr>
          <w:rFonts w:ascii="Cambria" w:hAnsi="Cambria" w:cs="Cambria"/>
          <w:sz w:val="24"/>
          <w:szCs w:val="24"/>
        </w:rPr>
      </w:pPr>
      <w:r>
        <w:rPr>
          <w:rFonts w:ascii="Cambria" w:hAnsi="Cambria" w:cs="Cambria"/>
          <w:sz w:val="24"/>
          <w:szCs w:val="24"/>
        </w:rPr>
        <w:t>d) If the child has an urge to defecate, the drip infusion may be suspended. The child shall rest briefly and be instructed to take deep breaths to prevent leakage of the medicine.</w:t>
      </w:r>
    </w:p>
    <w:p w14:paraId="284FDF86">
      <w:pPr>
        <w:spacing w:line="276" w:lineRule="auto"/>
        <w:ind w:firstLine="480" w:firstLineChars="200"/>
        <w:rPr>
          <w:rFonts w:ascii="Cambria" w:hAnsi="Cambria" w:cs="Cambria"/>
          <w:sz w:val="24"/>
          <w:szCs w:val="24"/>
        </w:rPr>
      </w:pPr>
      <w:r>
        <w:rPr>
          <w:rFonts w:ascii="Cambria" w:hAnsi="Cambria" w:cs="Cambria"/>
          <w:sz w:val="24"/>
          <w:szCs w:val="24"/>
        </w:rPr>
        <w:t>e) After drip infusion is completed, the infusion tube shall be removed. The buttocks shall be raised, and the child shall remain lying quietly for 30 min. If defecation occurs within 30 min and the medicinal liquid is discharged together with stool, the treatment may be regarded as ineffective, and rectoclysis treatment shall be repeated.</w:t>
      </w:r>
    </w:p>
    <w:p w14:paraId="4E83BAFB">
      <w:pPr>
        <w:widowControl/>
        <w:spacing w:before="156" w:beforeLines="50" w:after="156" w:afterLines="50" w:line="276" w:lineRule="auto"/>
        <w:jc w:val="left"/>
        <w:rPr>
          <w:rFonts w:ascii="Cambria" w:hAnsi="Cambria" w:eastAsia="黑体" w:cs="Cambria"/>
          <w:b/>
          <w:bCs/>
          <w:spacing w:val="8"/>
          <w:kern w:val="0"/>
          <w:sz w:val="24"/>
          <w:szCs w:val="24"/>
        </w:rPr>
      </w:pPr>
      <w:r>
        <w:rPr>
          <w:rFonts w:ascii="Cambria" w:hAnsi="Cambria" w:eastAsia="黑体" w:cs="Cambria"/>
          <w:b/>
          <w:bCs/>
          <w:spacing w:val="8"/>
          <w:kern w:val="0"/>
          <w:sz w:val="24"/>
          <w:szCs w:val="24"/>
        </w:rPr>
        <w:t>7.2.3  Post-operation care</w:t>
      </w:r>
    </w:p>
    <w:p w14:paraId="7C7E7E15">
      <w:pPr>
        <w:spacing w:line="276" w:lineRule="auto"/>
        <w:ind w:firstLine="480" w:firstLineChars="200"/>
        <w:rPr>
          <w:rFonts w:ascii="Cambria" w:hAnsi="Cambria" w:cs="Cambria"/>
          <w:sz w:val="24"/>
          <w:szCs w:val="24"/>
        </w:rPr>
      </w:pPr>
      <w:r>
        <w:rPr>
          <w:rFonts w:ascii="Cambria" w:hAnsi="Cambria" w:cs="Cambria"/>
          <w:sz w:val="24"/>
          <w:szCs w:val="24"/>
        </w:rPr>
        <w:t>a) The bedsheet shall be arranged, and the used supplies shall be cleared.</w:t>
      </w:r>
    </w:p>
    <w:p w14:paraId="792164A8">
      <w:pPr>
        <w:spacing w:line="276" w:lineRule="auto"/>
        <w:ind w:firstLine="480" w:firstLineChars="200"/>
        <w:rPr>
          <w:rFonts w:ascii="Cambria" w:hAnsi="Cambria" w:cs="Cambria"/>
          <w:sz w:val="24"/>
          <w:szCs w:val="24"/>
        </w:rPr>
      </w:pPr>
      <w:r>
        <w:rPr>
          <w:rFonts w:ascii="Cambria" w:hAnsi="Cambria" w:cs="Cambria"/>
          <w:sz w:val="24"/>
          <w:szCs w:val="24"/>
        </w:rPr>
        <w:t>b) The child’s response and therapeutic effect shall be observed.</w:t>
      </w:r>
    </w:p>
    <w:p w14:paraId="492B564B">
      <w:pPr>
        <w:spacing w:line="276" w:lineRule="auto"/>
        <w:ind w:firstLine="480" w:firstLineChars="200"/>
        <w:rPr>
          <w:rFonts w:ascii="Cambria" w:hAnsi="Cambria" w:cs="Cambria"/>
          <w:sz w:val="24"/>
          <w:szCs w:val="24"/>
        </w:rPr>
      </w:pPr>
      <w:r>
        <w:rPr>
          <w:rFonts w:ascii="Cambria" w:hAnsi="Cambria" w:cs="Cambria"/>
          <w:sz w:val="24"/>
          <w:szCs w:val="24"/>
        </w:rPr>
        <w:t>c) Records shall be completed.</w:t>
      </w:r>
    </w:p>
    <w:p w14:paraId="7275D923">
      <w:pPr>
        <w:keepNext w:val="0"/>
        <w:keepLines w:val="0"/>
        <w:pageBreakBefore w:val="0"/>
        <w:widowControl w:val="0"/>
        <w:tabs>
          <w:tab w:val="left" w:pos="360"/>
          <w:tab w:val="left" w:pos="540"/>
        </w:tabs>
        <w:kinsoku/>
        <w:wordWrap/>
        <w:overflowPunct/>
        <w:topLinePunct w:val="0"/>
        <w:autoSpaceDE/>
        <w:autoSpaceDN/>
        <w:bidi w:val="0"/>
        <w:adjustRightInd/>
        <w:snapToGrid/>
        <w:spacing w:before="312" w:beforeLines="100" w:after="312" w:afterLines="100" w:line="276" w:lineRule="auto"/>
        <w:textAlignment w:val="auto"/>
        <w:outlineLvl w:val="1"/>
        <w:rPr>
          <w:rFonts w:ascii="Cambria" w:hAnsi="Cambria" w:eastAsia="黑体" w:cs="Cambria"/>
          <w:b/>
          <w:bCs/>
          <w:sz w:val="24"/>
          <w:szCs w:val="24"/>
        </w:rPr>
      </w:pPr>
      <w:bookmarkStart w:id="381" w:name="_Toc17387"/>
      <w:bookmarkStart w:id="382" w:name="_Toc848"/>
      <w:r>
        <w:rPr>
          <w:rFonts w:ascii="Cambria" w:hAnsi="Cambria" w:eastAsia="黑体" w:cs="Cambria"/>
          <w:b/>
          <w:bCs/>
          <w:sz w:val="24"/>
          <w:szCs w:val="24"/>
        </w:rPr>
        <w:t>6.1</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Preparation before operation</w:t>
      </w:r>
      <w:bookmarkEnd w:id="381"/>
    </w:p>
    <w:p w14:paraId="6C050595">
      <w:pPr>
        <w:pStyle w:val="12"/>
        <w:snapToGrid w:val="0"/>
        <w:spacing w:before="156" w:beforeLines="50" w:after="156" w:afterLines="50" w:line="276" w:lineRule="auto"/>
        <w:jc w:val="left"/>
        <w:outlineLvl w:val="9"/>
        <w:rPr>
          <w:rFonts w:ascii="Cambria" w:hAnsi="Cambria" w:eastAsia="黑体" w:cs="Cambria"/>
          <w:bCs/>
          <w:spacing w:val="8"/>
          <w:kern w:val="0"/>
          <w:sz w:val="24"/>
          <w:szCs w:val="24"/>
          <w:lang w:val="en-US"/>
        </w:rPr>
      </w:pPr>
      <w:r>
        <w:rPr>
          <w:rFonts w:ascii="Cambria" w:hAnsi="Cambria" w:eastAsia="黑体" w:cs="Cambria"/>
          <w:bCs/>
          <w:spacing w:val="8"/>
          <w:kern w:val="0"/>
          <w:sz w:val="24"/>
          <w:szCs w:val="24"/>
          <w:lang w:val="en-US"/>
        </w:rPr>
        <w:t>6.1.1  Instruments and supplies</w:t>
      </w:r>
    </w:p>
    <w:p w14:paraId="19824C3D">
      <w:pPr>
        <w:spacing w:line="276" w:lineRule="auto"/>
        <w:ind w:firstLine="480" w:firstLineChars="200"/>
        <w:rPr>
          <w:rFonts w:ascii="Cambria" w:hAnsi="Cambria" w:cs="Cambria"/>
          <w:sz w:val="24"/>
          <w:szCs w:val="24"/>
        </w:rPr>
      </w:pPr>
      <w:r>
        <w:rPr>
          <w:rFonts w:ascii="Cambria" w:hAnsi="Cambria" w:cs="Cambria"/>
          <w:sz w:val="24"/>
          <w:szCs w:val="24"/>
        </w:rPr>
        <w:t>Treatment bowl 1: three pieces of gauze, two 50 mL syringes and one pair of sterile forceps; treatment bowl 2: one piece of liquid paraffin gauze and one pair of sterile forceps; disposable nasogastric tube; treatment towel; kidney tray; safety pin; cotton swabs; adhesive tape; one cup of warm water; gavage liquid at 38 °C to 40 °C; flashlight; sterile gloves; stethoscope; water thermometer; scissors; and small treatment tray.</w:t>
      </w:r>
    </w:p>
    <w:p w14:paraId="41C46343">
      <w:pPr>
        <w:pStyle w:val="12"/>
        <w:snapToGrid w:val="0"/>
        <w:spacing w:before="156" w:beforeLines="50" w:after="156" w:afterLines="50" w:line="276" w:lineRule="auto"/>
        <w:jc w:val="left"/>
        <w:outlineLvl w:val="9"/>
        <w:rPr>
          <w:rFonts w:ascii="Cambria" w:hAnsi="Cambria" w:eastAsia="黑体" w:cs="Cambria"/>
          <w:bCs/>
          <w:spacing w:val="8"/>
          <w:kern w:val="0"/>
          <w:sz w:val="24"/>
          <w:szCs w:val="24"/>
          <w:lang w:val="en-US"/>
        </w:rPr>
      </w:pPr>
      <w:r>
        <w:rPr>
          <w:rFonts w:ascii="Cambria" w:hAnsi="Cambria" w:eastAsia="黑体" w:cs="Cambria"/>
          <w:bCs/>
          <w:spacing w:val="8"/>
          <w:kern w:val="0"/>
          <w:sz w:val="24"/>
          <w:szCs w:val="24"/>
          <w:lang w:val="en-US"/>
        </w:rPr>
        <w:t>6.1.2  Disinfection</w:t>
      </w:r>
    </w:p>
    <w:p w14:paraId="0C67DDDE">
      <w:pPr>
        <w:spacing w:line="276" w:lineRule="auto"/>
        <w:ind w:firstLine="480" w:firstLineChars="200"/>
        <w:rPr>
          <w:rFonts w:ascii="Cambria" w:hAnsi="Cambria" w:cs="Cambria"/>
          <w:sz w:val="24"/>
          <w:szCs w:val="24"/>
        </w:rPr>
      </w:pPr>
      <w:r>
        <w:rPr>
          <w:rFonts w:ascii="Cambria" w:hAnsi="Cambria" w:cs="Cambria"/>
          <w:sz w:val="24"/>
          <w:szCs w:val="24"/>
        </w:rPr>
        <w:t>a) The disposable nasogastric tube and the instruments directly in contact with it shall be disinfected before use.</w:t>
      </w:r>
    </w:p>
    <w:p w14:paraId="1C99E55F">
      <w:pPr>
        <w:spacing w:line="276" w:lineRule="auto"/>
        <w:ind w:firstLine="480" w:firstLineChars="200"/>
        <w:rPr>
          <w:rFonts w:ascii="Cambria" w:hAnsi="Cambria" w:cs="Cambria"/>
          <w:sz w:val="24"/>
          <w:szCs w:val="24"/>
        </w:rPr>
      </w:pPr>
      <w:r>
        <w:rPr>
          <w:rFonts w:ascii="Cambria" w:hAnsi="Cambria" w:cs="Cambria"/>
          <w:sz w:val="24"/>
          <w:szCs w:val="24"/>
        </w:rPr>
        <w:t>b) The nasal cavity shall be cleaned before operation, and the perinasal skin shall be disinfected.</w:t>
      </w:r>
    </w:p>
    <w:p w14:paraId="73E93282">
      <w:pPr>
        <w:spacing w:line="276" w:lineRule="auto"/>
        <w:ind w:firstLine="480" w:firstLineChars="200"/>
        <w:rPr>
          <w:rFonts w:ascii="Cambria" w:hAnsi="Cambria" w:cs="Cambria"/>
          <w:sz w:val="24"/>
          <w:szCs w:val="24"/>
        </w:rPr>
      </w:pPr>
      <w:r>
        <w:rPr>
          <w:rFonts w:ascii="Cambria" w:hAnsi="Cambria" w:cs="Cambria"/>
          <w:sz w:val="24"/>
          <w:szCs w:val="24"/>
        </w:rPr>
        <w:t>c) The operator shall wear sterile gloves.</w:t>
      </w:r>
    </w:p>
    <w:p w14:paraId="1DFFD716">
      <w:pPr>
        <w:pStyle w:val="12"/>
        <w:snapToGrid w:val="0"/>
        <w:spacing w:before="156" w:beforeLines="50" w:after="156" w:afterLines="50" w:line="276" w:lineRule="auto"/>
        <w:jc w:val="left"/>
        <w:outlineLvl w:val="9"/>
        <w:rPr>
          <w:rFonts w:ascii="Cambria" w:hAnsi="Cambria" w:eastAsia="黑体" w:cs="Cambria"/>
          <w:bCs/>
          <w:spacing w:val="8"/>
          <w:kern w:val="0"/>
          <w:sz w:val="24"/>
          <w:szCs w:val="24"/>
          <w:lang w:val="en-US"/>
        </w:rPr>
      </w:pPr>
      <w:r>
        <w:rPr>
          <w:rFonts w:ascii="Cambria" w:hAnsi="Cambria" w:eastAsia="黑体" w:cs="Cambria"/>
          <w:bCs/>
          <w:spacing w:val="8"/>
          <w:kern w:val="0"/>
          <w:sz w:val="24"/>
          <w:szCs w:val="24"/>
          <w:lang w:val="en-US"/>
        </w:rPr>
        <w:t>6.1.3  Environment</w:t>
      </w:r>
    </w:p>
    <w:p w14:paraId="630B0CA9">
      <w:pPr>
        <w:spacing w:line="276" w:lineRule="auto"/>
        <w:ind w:firstLine="480" w:firstLineChars="200"/>
        <w:rPr>
          <w:rFonts w:ascii="Cambria" w:hAnsi="Cambria" w:cs="Cambria"/>
          <w:sz w:val="24"/>
          <w:szCs w:val="24"/>
        </w:rPr>
      </w:pPr>
      <w:r>
        <w:rPr>
          <w:rFonts w:ascii="Cambria" w:hAnsi="Cambria" w:cs="Cambria"/>
          <w:sz w:val="24"/>
          <w:szCs w:val="24"/>
        </w:rPr>
        <w:t>The ward shall be kept clean, quiet and well lit, and unrelated personnel shall not be allowed to enter.</w:t>
      </w:r>
    </w:p>
    <w:p w14:paraId="30089183">
      <w:pPr>
        <w:pStyle w:val="12"/>
        <w:snapToGrid w:val="0"/>
        <w:spacing w:before="156" w:beforeLines="50" w:after="156" w:afterLines="50" w:line="276" w:lineRule="auto"/>
        <w:jc w:val="left"/>
        <w:outlineLvl w:val="9"/>
        <w:rPr>
          <w:rFonts w:ascii="Cambria" w:hAnsi="Cambria" w:eastAsia="黑体" w:cs="Cambria"/>
          <w:bCs/>
          <w:spacing w:val="8"/>
          <w:kern w:val="0"/>
          <w:sz w:val="24"/>
          <w:szCs w:val="24"/>
          <w:lang w:val="en-US"/>
        </w:rPr>
      </w:pPr>
      <w:r>
        <w:rPr>
          <w:rFonts w:ascii="Cambria" w:hAnsi="Cambria" w:eastAsia="黑体" w:cs="Cambria"/>
          <w:bCs/>
          <w:spacing w:val="8"/>
          <w:kern w:val="0"/>
          <w:sz w:val="24"/>
          <w:szCs w:val="24"/>
          <w:lang w:val="en-US"/>
        </w:rPr>
        <w:t>6.1.4  Pre-operation care</w:t>
      </w:r>
    </w:p>
    <w:p w14:paraId="5B096F4A">
      <w:pPr>
        <w:spacing w:line="276" w:lineRule="auto"/>
        <w:ind w:firstLine="480" w:firstLineChars="200"/>
        <w:rPr>
          <w:rFonts w:ascii="Cambria" w:hAnsi="Cambria" w:cs="Cambria"/>
          <w:sz w:val="24"/>
          <w:szCs w:val="24"/>
        </w:rPr>
      </w:pPr>
      <w:r>
        <w:rPr>
          <w:rFonts w:ascii="Cambria" w:hAnsi="Cambria" w:cs="Cambria"/>
          <w:sz w:val="24"/>
          <w:szCs w:val="24"/>
        </w:rPr>
        <w:t>a) The instruments and supplies shall be prepared and brought to the child’s bedside.</w:t>
      </w:r>
    </w:p>
    <w:p w14:paraId="2DE4995D">
      <w:pPr>
        <w:spacing w:line="276" w:lineRule="auto"/>
        <w:ind w:firstLine="480" w:firstLineChars="200"/>
        <w:rPr>
          <w:rFonts w:ascii="Cambria" w:hAnsi="Cambria" w:cs="Cambria"/>
          <w:sz w:val="24"/>
          <w:szCs w:val="24"/>
        </w:rPr>
      </w:pPr>
      <w:r>
        <w:rPr>
          <w:rFonts w:ascii="Cambria" w:hAnsi="Cambria" w:cs="Cambria"/>
          <w:sz w:val="24"/>
          <w:szCs w:val="24"/>
        </w:rPr>
        <w:t>b) For conscious children aged 3 years or older, psychological care shall be provided. The significance of the treatment and the precautions shall be explained, and psychological comfort and encouragement shall be given to relieve the child’s nervousness and fear, so as to obtain the child’s active cooperation in the operation as far as possible.</w:t>
      </w:r>
    </w:p>
    <w:p w14:paraId="330CAA55">
      <w:pPr>
        <w:spacing w:line="276" w:lineRule="auto"/>
        <w:ind w:firstLine="480" w:firstLineChars="200"/>
        <w:rPr>
          <w:rFonts w:ascii="Cambria" w:hAnsi="Cambria" w:cs="Cambria"/>
          <w:sz w:val="24"/>
          <w:szCs w:val="24"/>
        </w:rPr>
      </w:pPr>
      <w:r>
        <w:rPr>
          <w:rFonts w:ascii="Cambria" w:hAnsi="Cambria" w:cs="Cambria"/>
          <w:sz w:val="24"/>
          <w:szCs w:val="24"/>
        </w:rPr>
        <w:t>c) For nasogastric tube insertion, pain management or sedation measures should be considered. Age-appropriate immobilization methods and non-pharmacological distraction techniques should be considered and planned. Where applicable, sucrose may be used for children under 1 year of age, and local anesthetic nasal spray may be considered for children over 2 years of age.</w:t>
      </w:r>
    </w:p>
    <w:p w14:paraId="787D9F37">
      <w:pPr>
        <w:pStyle w:val="12"/>
        <w:snapToGrid w:val="0"/>
        <w:spacing w:before="156" w:beforeLines="50" w:after="156" w:afterLines="50" w:line="276" w:lineRule="auto"/>
        <w:jc w:val="left"/>
        <w:outlineLvl w:val="9"/>
        <w:rPr>
          <w:rFonts w:ascii="Cambria" w:hAnsi="Cambria" w:eastAsia="黑体" w:cs="Cambria"/>
          <w:bCs/>
          <w:spacing w:val="8"/>
          <w:kern w:val="0"/>
          <w:sz w:val="24"/>
          <w:szCs w:val="24"/>
          <w:lang w:val="en-US"/>
        </w:rPr>
      </w:pPr>
      <w:r>
        <w:rPr>
          <w:rFonts w:ascii="Cambria" w:hAnsi="Cambria" w:eastAsia="黑体" w:cs="Cambria"/>
          <w:bCs/>
          <w:spacing w:val="8"/>
          <w:kern w:val="0"/>
          <w:sz w:val="24"/>
          <w:szCs w:val="24"/>
          <w:lang w:val="en-US"/>
        </w:rPr>
        <w:t>6.1.5  Position of the child</w:t>
      </w:r>
    </w:p>
    <w:p w14:paraId="6E1F9B79">
      <w:pPr>
        <w:spacing w:line="276" w:lineRule="auto"/>
        <w:ind w:firstLine="480" w:firstLineChars="200"/>
        <w:rPr>
          <w:rFonts w:ascii="Cambria" w:hAnsi="Cambria" w:cs="Cambria"/>
          <w:sz w:val="24"/>
          <w:szCs w:val="24"/>
        </w:rPr>
      </w:pPr>
      <w:r>
        <w:rPr>
          <w:rFonts w:ascii="Cambria" w:hAnsi="Cambria" w:cs="Cambria"/>
          <w:sz w:val="24"/>
          <w:szCs w:val="24"/>
        </w:rPr>
        <w:t>Cooperative children shall be placed in a semi-sitting position or sitting position, which may reduce the gag reflex when the nasogastric tube passes through the pharynx. Children who are comatose, crying or uncooperative shall be placed in a supine position or right lateral position. During administration, the child shall be placed in a semi-recumbent position, with a treatment towel placed under the chin.</w:t>
      </w:r>
    </w:p>
    <w:p w14:paraId="65E232F8">
      <w:pPr>
        <w:tabs>
          <w:tab w:val="left" w:pos="360"/>
          <w:tab w:val="left" w:pos="540"/>
        </w:tabs>
        <w:spacing w:before="312" w:beforeLines="100" w:after="312" w:afterLines="100" w:line="276" w:lineRule="auto"/>
        <w:outlineLvl w:val="0"/>
        <w:rPr>
          <w:rFonts w:ascii="Cambria" w:hAnsi="Cambria" w:eastAsia="黑体" w:cs="Cambria"/>
          <w:b/>
          <w:bCs/>
          <w:sz w:val="24"/>
          <w:szCs w:val="24"/>
        </w:rPr>
      </w:pPr>
      <w:r>
        <w:rPr>
          <w:rFonts w:ascii="Cambria" w:hAnsi="Cambria" w:eastAsia="黑体" w:cs="Cambria"/>
          <w:b/>
          <w:bCs/>
          <w:sz w:val="24"/>
          <w:szCs w:val="24"/>
        </w:rPr>
        <w:t>8</w:t>
      </w:r>
      <w:r>
        <w:rPr>
          <w:rFonts w:hint="eastAsia" w:ascii="Cambria" w:hAnsi="Cambria" w:eastAsia="黑体" w:cs="Cambria"/>
          <w:b/>
          <w:bCs/>
          <w:sz w:val="24"/>
          <w:szCs w:val="24"/>
          <w:lang w:val="en-US" w:eastAsia="zh-CN"/>
        </w:rPr>
        <w:t xml:space="preserve"> </w:t>
      </w:r>
      <w:r>
        <w:rPr>
          <w:rFonts w:ascii="Cambria" w:hAnsi="Cambria" w:eastAsia="黑体" w:cs="Cambria"/>
          <w:b/>
          <w:bCs/>
          <w:sz w:val="24"/>
          <w:szCs w:val="24"/>
        </w:rPr>
        <w:t>Precautions and contraindications</w:t>
      </w:r>
      <w:bookmarkEnd w:id="382"/>
    </w:p>
    <w:p w14:paraId="6FD5A8D0">
      <w:pPr>
        <w:spacing w:line="276" w:lineRule="auto"/>
        <w:ind w:firstLine="480" w:firstLineChars="200"/>
        <w:rPr>
          <w:rFonts w:ascii="Cambria" w:hAnsi="Cambria" w:cs="Cambria"/>
          <w:sz w:val="24"/>
          <w:szCs w:val="24"/>
        </w:rPr>
      </w:pPr>
      <w:r>
        <w:rPr>
          <w:rFonts w:ascii="Cambria" w:hAnsi="Cambria" w:cs="Cambria"/>
          <w:sz w:val="24"/>
          <w:szCs w:val="24"/>
        </w:rPr>
        <w:t>The precautions and contraindications for specific operations are given in Annex A and Annex B.</w:t>
      </w:r>
    </w:p>
    <w:p w14:paraId="594B3BF1">
      <w:pPr>
        <w:spacing w:line="276" w:lineRule="auto"/>
        <w:jc w:val="center"/>
        <w:outlineLvl w:val="0"/>
        <w:rPr>
          <w:rFonts w:ascii="Cambria" w:hAnsi="Cambria" w:eastAsia="黑体" w:cs="Cambria"/>
          <w:b/>
          <w:bCs/>
          <w:sz w:val="24"/>
          <w:szCs w:val="24"/>
        </w:rPr>
      </w:pPr>
      <w:r>
        <w:rPr>
          <w:rFonts w:ascii="Cambria" w:hAnsi="Cambria" w:eastAsia="黑体" w:cs="Cambria"/>
          <w:sz w:val="24"/>
          <w:szCs w:val="24"/>
        </w:rPr>
        <w:br w:type="page"/>
      </w:r>
      <w:bookmarkStart w:id="383" w:name="_Toc11383"/>
      <w:r>
        <w:rPr>
          <w:rFonts w:ascii="Cambria" w:hAnsi="Cambria" w:eastAsia="黑体" w:cs="Cambria"/>
          <w:b/>
          <w:bCs/>
          <w:sz w:val="24"/>
          <w:szCs w:val="24"/>
        </w:rPr>
        <w:t>Annex A</w:t>
      </w:r>
      <w:bookmarkEnd w:id="383"/>
    </w:p>
    <w:p w14:paraId="36477800">
      <w:pPr>
        <w:spacing w:line="276" w:lineRule="auto"/>
        <w:jc w:val="center"/>
        <w:outlineLvl w:val="0"/>
        <w:rPr>
          <w:rFonts w:ascii="Cambria" w:hAnsi="Cambria" w:eastAsia="黑体" w:cs="Cambria"/>
          <w:b/>
          <w:bCs/>
          <w:sz w:val="24"/>
          <w:szCs w:val="24"/>
        </w:rPr>
      </w:pPr>
      <w:bookmarkStart w:id="384" w:name="_Toc11660"/>
      <w:r>
        <w:rPr>
          <w:rFonts w:ascii="Cambria" w:hAnsi="Cambria" w:eastAsia="黑体" w:cs="Cambria"/>
          <w:b/>
          <w:bCs/>
          <w:sz w:val="24"/>
          <w:szCs w:val="24"/>
        </w:rPr>
        <w:t>(informative)</w:t>
      </w:r>
      <w:bookmarkEnd w:id="384"/>
    </w:p>
    <w:p w14:paraId="38313062">
      <w:pPr>
        <w:spacing w:line="276" w:lineRule="auto"/>
        <w:jc w:val="center"/>
        <w:outlineLvl w:val="0"/>
        <w:rPr>
          <w:rFonts w:ascii="Cambria" w:hAnsi="Cambria" w:eastAsia="黑体" w:cs="Cambria"/>
          <w:b/>
          <w:bCs/>
          <w:sz w:val="24"/>
          <w:szCs w:val="24"/>
        </w:rPr>
      </w:pPr>
      <w:bookmarkStart w:id="385" w:name="_Toc16998"/>
      <w:r>
        <w:rPr>
          <w:rFonts w:ascii="Cambria" w:hAnsi="Cambria" w:eastAsia="黑体" w:cs="Cambria"/>
          <w:b/>
          <w:bCs/>
          <w:sz w:val="24"/>
          <w:szCs w:val="24"/>
        </w:rPr>
        <w:t>Precautions for internal administration in TCM pediatrics</w:t>
      </w:r>
      <w:bookmarkEnd w:id="385"/>
    </w:p>
    <w:p w14:paraId="694C94E3">
      <w:pPr>
        <w:pStyle w:val="12"/>
        <w:keepNext w:val="0"/>
        <w:keepLines w:val="0"/>
        <w:pageBreakBefore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A.1  Precautions for oral administration of decoctions in pediatrics</w:t>
      </w:r>
    </w:p>
    <w:p w14:paraId="7550B9B7">
      <w:pPr>
        <w:keepNext w:val="0"/>
        <w:keepLines w:val="0"/>
        <w:pageBreakBefore w:val="0"/>
        <w:kinsoku/>
        <w:wordWrap/>
        <w:overflowPunct/>
        <w:topLinePunct w:val="0"/>
        <w:autoSpaceDE/>
        <w:autoSpaceDN/>
        <w:bidi w:val="0"/>
        <w:adjustRightInd/>
        <w:spacing w:line="276" w:lineRule="auto"/>
        <w:ind w:firstLine="480" w:firstLineChars="200"/>
        <w:textAlignment w:val="auto"/>
        <w:outlineLvl w:val="9"/>
        <w:rPr>
          <w:rFonts w:ascii="Cambria" w:hAnsi="Cambria" w:cs="Cambria"/>
          <w:sz w:val="24"/>
          <w:szCs w:val="24"/>
        </w:rPr>
      </w:pPr>
      <w:r>
        <w:rPr>
          <w:rFonts w:ascii="Cambria" w:hAnsi="Cambria" w:cs="Cambria"/>
          <w:sz w:val="24"/>
          <w:szCs w:val="24"/>
        </w:rPr>
        <w:t>When taking a decoction, the child shall be in a sitting position. The medicine shall not be administered when the child is in a recumbent position; otherwise, it may easily be aspirated into the airway or cause vomiting.</w:t>
      </w:r>
    </w:p>
    <w:p w14:paraId="45769F65">
      <w:pPr>
        <w:pStyle w:val="12"/>
        <w:keepNext w:val="0"/>
        <w:keepLines w:val="0"/>
        <w:pageBreakBefore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A.2  Precautions for oral administration of Chinese patent medicines in pediatrics</w:t>
      </w:r>
    </w:p>
    <w:p w14:paraId="045ED35D">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r>
        <w:rPr>
          <w:rFonts w:ascii="Cambria" w:hAnsi="Cambria" w:eastAsia="黑体" w:cs="Cambria"/>
          <w:sz w:val="24"/>
          <w:szCs w:val="24"/>
        </w:rPr>
        <w:t>A.2.1 Solid preparations of relatively large size, such as tablets, pills and capsules, shall not be administered directly to children under 6 years of age. When administration is necessary, they shall be broken into several small pieces before administration, or ground into powder and mixed with warm boiled water before administration.</w:t>
      </w:r>
    </w:p>
    <w:p w14:paraId="44DF40AC">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r>
        <w:rPr>
          <w:rFonts w:ascii="Cambria" w:hAnsi="Cambria" w:eastAsia="黑体" w:cs="Cambria"/>
          <w:sz w:val="24"/>
          <w:szCs w:val="24"/>
        </w:rPr>
        <w:t>A.2.2 When administering liquid preparations, pinching the nose for forced administration shall not be used, so as to prevent aspiration into the airway.</w:t>
      </w:r>
    </w:p>
    <w:p w14:paraId="31BE1D04">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cs="Cambria"/>
          <w:b/>
          <w:sz w:val="24"/>
          <w:szCs w:val="24"/>
        </w:rPr>
      </w:pPr>
      <w:r>
        <w:rPr>
          <w:rFonts w:ascii="Cambria" w:hAnsi="Cambria" w:eastAsia="黑体" w:cs="Cambria"/>
          <w:sz w:val="24"/>
          <w:szCs w:val="24"/>
        </w:rPr>
        <w:t xml:space="preserve">A.2.3 Tinctures, lozenges and chewable tablets are not suitable for children under 3 years of </w:t>
      </w:r>
      <w:r>
        <w:rPr>
          <w:rFonts w:ascii="Cambria" w:hAnsi="Cambria" w:cs="Cambria"/>
          <w:sz w:val="24"/>
          <w:szCs w:val="24"/>
        </w:rPr>
        <w:t>age.</w:t>
      </w:r>
    </w:p>
    <w:p w14:paraId="56698380">
      <w:pPr>
        <w:pStyle w:val="12"/>
        <w:keepNext w:val="0"/>
        <w:keepLines w:val="0"/>
        <w:pageBreakBefore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A.3  Precautions for nasogastric gavage administration of Chinese medicines in pediatrics</w:t>
      </w:r>
    </w:p>
    <w:p w14:paraId="060FAA65">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r>
        <w:rPr>
          <w:rFonts w:ascii="Cambria" w:hAnsi="Cambria" w:eastAsia="黑体" w:cs="Cambria"/>
          <w:sz w:val="24"/>
          <w:szCs w:val="24"/>
        </w:rPr>
        <w:t>A.3.1 Before nasogastric gavage, the head of the child’s bed should be raised by 30° to 35°. This may prevent choking cough, reflux, vomiting and other conditions during and after administration, and reduce the occurrence of aspiration pneumonia.</w:t>
      </w:r>
    </w:p>
    <w:p w14:paraId="3EF638F7">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r>
        <w:rPr>
          <w:rFonts w:ascii="Cambria" w:hAnsi="Cambria" w:eastAsia="黑体" w:cs="Cambria"/>
          <w:sz w:val="24"/>
          <w:szCs w:val="24"/>
        </w:rPr>
        <w:t>A.3.2 When gastric fluid is obtained by aspiration before nasogastric gavage, the operator shall observe whether there is gastrointestinal bleeding or gastric retention, such as bloody or coffee-colored gastric fluid, or fasting gastric fluid greater than 200 mL. If such conditions are present, nasogastric gavage shall be stopped and resumed after the symptoms improve. If no abnormality is found, a small amount of warm boiled water may be slowly injected, followed by administration of the medicinal liquid for nasogastric gavage.</w:t>
      </w:r>
    </w:p>
    <w:p w14:paraId="62087017">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r>
        <w:rPr>
          <w:rFonts w:ascii="Cambria" w:hAnsi="Cambria" w:eastAsia="黑体" w:cs="Cambria"/>
          <w:sz w:val="24"/>
          <w:szCs w:val="24"/>
        </w:rPr>
        <w:t>A.3.3 Before nasogastric gavage, the nasogastric tube shall be checked for dislodgement, loosening or coiling in the oral cavity.</w:t>
      </w:r>
    </w:p>
    <w:p w14:paraId="78C0FB71">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p>
    <w:p w14:paraId="1E7B1D22">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sz w:val="24"/>
          <w:szCs w:val="24"/>
        </w:rPr>
      </w:pPr>
      <w:r>
        <w:rPr>
          <w:rFonts w:ascii="Cambria" w:hAnsi="Cambria" w:eastAsia="黑体" w:cs="Cambria"/>
          <w:sz w:val="24"/>
          <w:szCs w:val="24"/>
        </w:rPr>
        <w:t>A.3.4 The speed of nasogastric gavage shall be slow, and the child’s response shall be observed at all times.</w:t>
      </w:r>
    </w:p>
    <w:p w14:paraId="0FDC32D9">
      <w:pPr>
        <w:keepNext w:val="0"/>
        <w:keepLines w:val="0"/>
        <w:pageBreakBefore w:val="0"/>
        <w:widowControl/>
        <w:kinsoku/>
        <w:wordWrap/>
        <w:overflowPunct/>
        <w:topLinePunct w:val="0"/>
        <w:autoSpaceDE/>
        <w:autoSpaceDN/>
        <w:bidi w:val="0"/>
        <w:adjustRightInd/>
        <w:snapToGrid w:val="0"/>
        <w:spacing w:line="276" w:lineRule="auto"/>
        <w:jc w:val="left"/>
        <w:textAlignment w:val="auto"/>
        <w:outlineLvl w:val="9"/>
        <w:rPr>
          <w:rFonts w:ascii="Cambria" w:hAnsi="Cambria" w:cs="Cambria"/>
          <w:spacing w:val="8"/>
          <w:kern w:val="0"/>
          <w:sz w:val="24"/>
          <w:szCs w:val="24"/>
        </w:rPr>
      </w:pPr>
      <w:r>
        <w:rPr>
          <w:rFonts w:ascii="Cambria" w:hAnsi="Cambria" w:eastAsia="黑体" w:cs="Cambria"/>
          <w:sz w:val="24"/>
          <w:szCs w:val="24"/>
        </w:rPr>
        <w:t>A.3.5 For children receiving long-term nasogastric gavage, nasal and esophageal ulcers, gastric bleeding, pulmonary infection and gastrointestinal bacterial infection shall be prevented. Nasogastric tube insertion is a mechanical and invasive procedure that directly contacts the child’s mucosa. It may easily damage the mucosa and induce infection. The operator shall be technically proficient, reduce the number of repeated tube insertions, adopt accurate operating methods and appropriate positioning of the child, and improve the success rate of first-attempt tube insertion.</w:t>
      </w:r>
    </w:p>
    <w:p w14:paraId="22A1BA46">
      <w:pPr>
        <w:pStyle w:val="12"/>
        <w:keepNext w:val="0"/>
        <w:keepLines w:val="0"/>
        <w:pageBreakBefore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A.4  Precautions for rectal administration of Chinese medicines in pediatrics</w:t>
      </w:r>
    </w:p>
    <w:p w14:paraId="6888E290">
      <w:pPr>
        <w:pStyle w:val="12"/>
        <w:keepNext w:val="0"/>
        <w:keepLines w:val="0"/>
        <w:pageBreakBefore w:val="0"/>
        <w:kinsoku/>
        <w:wordWrap/>
        <w:overflowPunct/>
        <w:topLinePunct w:val="0"/>
        <w:autoSpaceDE/>
        <w:autoSpaceDN/>
        <w:bidi w:val="0"/>
        <w:adjustRightInd/>
        <w:snapToGrid w:val="0"/>
        <w:spacing w:before="0" w:after="0" w:line="276" w:lineRule="auto"/>
        <w:jc w:val="both"/>
        <w:textAlignment w:val="auto"/>
        <w:outlineLvl w:val="9"/>
        <w:rPr>
          <w:rFonts w:ascii="Cambria" w:hAnsi="Cambria" w:cs="Cambria"/>
          <w:b w:val="0"/>
          <w:sz w:val="24"/>
          <w:szCs w:val="24"/>
          <w:lang w:val="en-US"/>
        </w:rPr>
      </w:pPr>
      <w:r>
        <w:rPr>
          <w:rFonts w:ascii="Cambria" w:hAnsi="Cambria" w:eastAsia="黑体" w:cs="Cambria"/>
          <w:b w:val="0"/>
          <w:sz w:val="24"/>
          <w:szCs w:val="24"/>
          <w:lang w:val="en-US"/>
        </w:rPr>
        <w:t xml:space="preserve">A.4.1  </w:t>
      </w:r>
      <w:r>
        <w:rPr>
          <w:rFonts w:ascii="Cambria" w:hAnsi="Cambria" w:cs="Cambria"/>
          <w:b w:val="0"/>
          <w:sz w:val="24"/>
          <w:szCs w:val="24"/>
          <w:lang w:val="en-US"/>
        </w:rPr>
        <w:t>During operation, attention shall be paid to protecting the child’s dignity. Chilling shall be prevented.</w:t>
      </w:r>
    </w:p>
    <w:p w14:paraId="02DE2C1F">
      <w:pPr>
        <w:pStyle w:val="12"/>
        <w:keepNext w:val="0"/>
        <w:keepLines w:val="0"/>
        <w:pageBreakBefore w:val="0"/>
        <w:kinsoku/>
        <w:wordWrap/>
        <w:overflowPunct/>
        <w:topLinePunct w:val="0"/>
        <w:autoSpaceDE/>
        <w:autoSpaceDN/>
        <w:bidi w:val="0"/>
        <w:adjustRightInd/>
        <w:snapToGrid w:val="0"/>
        <w:spacing w:before="0" w:after="0" w:line="276" w:lineRule="auto"/>
        <w:jc w:val="left"/>
        <w:textAlignment w:val="auto"/>
        <w:outlineLvl w:val="9"/>
        <w:rPr>
          <w:rFonts w:ascii="Cambria" w:hAnsi="Cambria" w:cs="Cambria"/>
          <w:b w:val="0"/>
          <w:sz w:val="24"/>
          <w:szCs w:val="24"/>
          <w:lang w:val="en-US"/>
        </w:rPr>
      </w:pPr>
      <w:r>
        <w:rPr>
          <w:rFonts w:ascii="Cambria" w:hAnsi="Cambria" w:eastAsia="黑体" w:cs="Cambria"/>
          <w:b w:val="0"/>
          <w:sz w:val="24"/>
          <w:szCs w:val="24"/>
          <w:lang w:val="en-US"/>
        </w:rPr>
        <w:t>A.4.2  The temperature, concentration, drip rate and volume of the medicinal liquid shall be controlled. During infusion of the medicinal liquid, if the child has abdominal distension or an urge to defecate, the child shall be instructed to open the mouth, take deep breaths and relax the abdominal muscles, while the infusion rate is appropriately slowed.</w:t>
      </w:r>
    </w:p>
    <w:p w14:paraId="092A908D">
      <w:pPr>
        <w:keepNext w:val="0"/>
        <w:keepLines w:val="0"/>
        <w:pageBreakBefore w:val="0"/>
        <w:kinsoku/>
        <w:wordWrap/>
        <w:overflowPunct/>
        <w:topLinePunct w:val="0"/>
        <w:autoSpaceDE/>
        <w:autoSpaceDN/>
        <w:bidi w:val="0"/>
        <w:adjustRightInd/>
        <w:spacing w:line="276" w:lineRule="auto"/>
        <w:jc w:val="left"/>
        <w:textAlignment w:val="auto"/>
        <w:outlineLvl w:val="9"/>
        <w:rPr>
          <w:rFonts w:ascii="Cambria" w:hAnsi="Cambria" w:cs="Cambria"/>
          <w:sz w:val="24"/>
          <w:szCs w:val="24"/>
        </w:rPr>
      </w:pPr>
      <w:r>
        <w:rPr>
          <w:rFonts w:ascii="Cambria" w:hAnsi="Cambria" w:eastAsia="黑体" w:cs="Cambria"/>
          <w:sz w:val="24"/>
          <w:szCs w:val="24"/>
        </w:rPr>
        <w:t>A.4.3</w:t>
      </w:r>
      <w:r>
        <w:rPr>
          <w:rFonts w:ascii="Cambria" w:hAnsi="Cambria" w:cs="Cambria"/>
          <w:sz w:val="24"/>
          <w:szCs w:val="24"/>
        </w:rPr>
        <w:t xml:space="preserve">  During administration, attention shall be paid to observing the child’s response. If pallor, cold sweating, severe abdominal pain, rapid pulse, palpitation, shortness of breath or other symptoms occur, the treatment shall be stopped immediately and managed by a physician</w:t>
      </w:r>
      <w:r>
        <w:rPr>
          <w:rFonts w:hint="default" w:ascii="Cambria" w:hAnsi="Cambria" w:cs="Cambria"/>
          <w:sz w:val="24"/>
          <w:szCs w:val="24"/>
        </w:rPr>
        <w:t>.</w:t>
      </w:r>
    </w:p>
    <w:p w14:paraId="37F97433">
      <w:pPr>
        <w:spacing w:line="276" w:lineRule="auto"/>
        <w:jc w:val="center"/>
        <w:outlineLvl w:val="0"/>
        <w:rPr>
          <w:rFonts w:ascii="Cambria" w:hAnsi="Cambria" w:eastAsia="黑体" w:cs="Cambria"/>
          <w:b/>
          <w:bCs/>
          <w:sz w:val="24"/>
          <w:szCs w:val="24"/>
        </w:rPr>
      </w:pPr>
      <w:r>
        <w:rPr>
          <w:rFonts w:ascii="Cambria" w:hAnsi="Cambria" w:cs="Cambria"/>
          <w:sz w:val="24"/>
          <w:szCs w:val="24"/>
        </w:rPr>
        <w:br w:type="page"/>
      </w:r>
      <w:bookmarkStart w:id="386" w:name="_Toc21116"/>
      <w:r>
        <w:rPr>
          <w:rFonts w:ascii="Cambria" w:hAnsi="Cambria" w:eastAsia="黑体" w:cs="Cambria"/>
          <w:b/>
          <w:bCs/>
          <w:sz w:val="24"/>
          <w:szCs w:val="24"/>
        </w:rPr>
        <w:t>Annex B</w:t>
      </w:r>
      <w:bookmarkEnd w:id="386"/>
    </w:p>
    <w:p w14:paraId="77EBA6DC">
      <w:pPr>
        <w:spacing w:line="276" w:lineRule="auto"/>
        <w:jc w:val="center"/>
        <w:outlineLvl w:val="0"/>
        <w:rPr>
          <w:rFonts w:ascii="Cambria" w:hAnsi="Cambria" w:eastAsia="黑体" w:cs="Cambria"/>
          <w:b/>
          <w:bCs/>
          <w:sz w:val="24"/>
          <w:szCs w:val="24"/>
        </w:rPr>
      </w:pPr>
      <w:bookmarkStart w:id="387" w:name="_Toc12667"/>
      <w:r>
        <w:rPr>
          <w:rFonts w:ascii="Cambria" w:hAnsi="Cambria" w:eastAsia="黑体" w:cs="Cambria"/>
          <w:b/>
          <w:bCs/>
          <w:sz w:val="24"/>
          <w:szCs w:val="24"/>
        </w:rPr>
        <w:t>(informative)</w:t>
      </w:r>
      <w:bookmarkEnd w:id="387"/>
    </w:p>
    <w:p w14:paraId="2DB56484">
      <w:pPr>
        <w:spacing w:line="276" w:lineRule="auto"/>
        <w:jc w:val="center"/>
        <w:outlineLvl w:val="0"/>
        <w:rPr>
          <w:rFonts w:ascii="Cambria" w:hAnsi="Cambria" w:eastAsia="黑体" w:cs="Cambria"/>
          <w:b/>
          <w:bCs/>
          <w:sz w:val="24"/>
          <w:szCs w:val="24"/>
        </w:rPr>
      </w:pPr>
      <w:bookmarkStart w:id="388" w:name="_Toc13610"/>
      <w:r>
        <w:rPr>
          <w:rFonts w:ascii="Cambria" w:hAnsi="Cambria" w:eastAsia="黑体" w:cs="Cambria"/>
          <w:b/>
          <w:bCs/>
          <w:sz w:val="24"/>
          <w:szCs w:val="24"/>
        </w:rPr>
        <w:t>Contraindications for internal administration in TCM pediatrics</w:t>
      </w:r>
      <w:bookmarkEnd w:id="388"/>
    </w:p>
    <w:p w14:paraId="39CF022A">
      <w:pPr>
        <w:pStyle w:val="12"/>
        <w:keepNext w:val="0"/>
        <w:keepLines w:val="0"/>
        <w:pageBreakBefore w:val="0"/>
        <w:widowControl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B.1  Contraindications for oral administration of decoctions in pediatrics</w:t>
      </w:r>
    </w:p>
    <w:p w14:paraId="32A8AE9A">
      <w:pPr>
        <w:pStyle w:val="12"/>
        <w:keepNext w:val="0"/>
        <w:keepLines w:val="0"/>
        <w:pageBreakBefore w:val="0"/>
        <w:widowControl w:val="0"/>
        <w:kinsoku/>
        <w:wordWrap/>
        <w:overflowPunct/>
        <w:topLinePunct w:val="0"/>
        <w:autoSpaceDE/>
        <w:autoSpaceDN/>
        <w:bidi w:val="0"/>
        <w:adjustRightInd/>
        <w:snapToGrid w:val="0"/>
        <w:spacing w:line="276" w:lineRule="auto"/>
        <w:jc w:val="left"/>
        <w:textAlignment w:val="auto"/>
        <w:outlineLvl w:val="9"/>
        <w:rPr>
          <w:rFonts w:ascii="Cambria" w:hAnsi="Cambria" w:cs="Cambria"/>
          <w:b w:val="0"/>
          <w:sz w:val="24"/>
          <w:szCs w:val="24"/>
          <w:lang w:val="en-US"/>
        </w:rPr>
      </w:pPr>
      <w:r>
        <w:rPr>
          <w:rFonts w:ascii="Cambria" w:hAnsi="Cambria" w:cs="Cambria"/>
          <w:b w:val="0"/>
          <w:sz w:val="24"/>
          <w:szCs w:val="24"/>
          <w:lang w:val="en-US"/>
        </w:rPr>
        <w:t>B.1.1 Iron vessels and other metal vessels, except those made of food-grade stainless steel (304 or 316, etc.), shall not be used for decocting Chinese medicine decoctions.</w:t>
      </w:r>
    </w:p>
    <w:p w14:paraId="1A04CDC1">
      <w:pPr>
        <w:pStyle w:val="12"/>
        <w:keepNext w:val="0"/>
        <w:keepLines w:val="0"/>
        <w:pageBreakBefore w:val="0"/>
        <w:widowControl w:val="0"/>
        <w:kinsoku/>
        <w:wordWrap/>
        <w:overflowPunct/>
        <w:topLinePunct w:val="0"/>
        <w:autoSpaceDE/>
        <w:autoSpaceDN/>
        <w:bidi w:val="0"/>
        <w:adjustRightInd/>
        <w:snapToGrid w:val="0"/>
        <w:spacing w:before="0" w:after="0" w:line="276" w:lineRule="auto"/>
        <w:jc w:val="left"/>
        <w:textAlignment w:val="auto"/>
        <w:outlineLvl w:val="9"/>
        <w:rPr>
          <w:rFonts w:ascii="Cambria" w:hAnsi="Cambria" w:cs="Cambria"/>
          <w:b w:val="0"/>
          <w:sz w:val="24"/>
          <w:szCs w:val="24"/>
          <w:lang w:val="en-US"/>
        </w:rPr>
      </w:pPr>
      <w:r>
        <w:rPr>
          <w:rFonts w:ascii="Cambria" w:hAnsi="Cambria" w:cs="Cambria"/>
          <w:b w:val="0"/>
          <w:sz w:val="24"/>
          <w:szCs w:val="24"/>
          <w:lang w:val="en-US"/>
        </w:rPr>
        <w:t>B.1.2 Pinching the nose for forced administration of decoctions shall not be used, so as to prevent aspiration into the airway.</w:t>
      </w:r>
    </w:p>
    <w:p w14:paraId="0BC70EAA">
      <w:pPr>
        <w:pStyle w:val="12"/>
        <w:keepNext w:val="0"/>
        <w:keepLines w:val="0"/>
        <w:pageBreakBefore w:val="0"/>
        <w:widowControl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B.2  Contraindications for nasogastric gavage administration of Chinese medicines in pediatrics</w:t>
      </w:r>
    </w:p>
    <w:p w14:paraId="47B34E9A">
      <w:pPr>
        <w:pStyle w:val="12"/>
        <w:keepNext w:val="0"/>
        <w:keepLines w:val="0"/>
        <w:pageBreakBefore w:val="0"/>
        <w:widowControl w:val="0"/>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b w:val="0"/>
          <w:sz w:val="24"/>
          <w:szCs w:val="24"/>
          <w:lang w:val="en-US"/>
        </w:rPr>
      </w:pPr>
      <w:r>
        <w:rPr>
          <w:rFonts w:ascii="Cambria" w:hAnsi="Cambria" w:eastAsia="黑体" w:cs="Cambria"/>
          <w:b w:val="0"/>
          <w:sz w:val="24"/>
          <w:szCs w:val="24"/>
          <w:lang w:val="en-US"/>
        </w:rPr>
        <w:t>B.2.1 Nasogastric gavage administration is commonly used for children who are unable to take Chinese medicines orally due to coma, dysphagia or other conditions, as well as children who have already undergone tube insertion as required by their disease condition. This method should generally not be used for children who can receive medicines orally or by rectal administration. Absolute contraindications include gastrointestinal functional failure and inability to safely establish nasogastric access, such as severe midfacial trauma and skull base fracture. Relative contraindications include coagulation dysfunction, esophageal trauma, esophageal varices, esophageal stricture, recent history of gastric perforation or gastric surgery, and recent nasal surgery.</w:t>
      </w:r>
    </w:p>
    <w:p w14:paraId="29C19355">
      <w:pPr>
        <w:pStyle w:val="12"/>
        <w:keepNext w:val="0"/>
        <w:keepLines w:val="0"/>
        <w:pageBreakBefore w:val="0"/>
        <w:widowControl w:val="0"/>
        <w:kinsoku/>
        <w:wordWrap/>
        <w:overflowPunct/>
        <w:topLinePunct w:val="0"/>
        <w:autoSpaceDE/>
        <w:autoSpaceDN/>
        <w:bidi w:val="0"/>
        <w:adjustRightInd/>
        <w:snapToGrid w:val="0"/>
        <w:spacing w:line="276" w:lineRule="auto"/>
        <w:jc w:val="left"/>
        <w:textAlignment w:val="auto"/>
        <w:outlineLvl w:val="9"/>
        <w:rPr>
          <w:rFonts w:ascii="Cambria" w:hAnsi="Cambria" w:eastAsia="黑体" w:cs="Cambria"/>
          <w:b w:val="0"/>
          <w:sz w:val="24"/>
          <w:szCs w:val="24"/>
          <w:lang w:val="en-US"/>
        </w:rPr>
      </w:pPr>
      <w:r>
        <w:rPr>
          <w:rFonts w:ascii="Cambria" w:hAnsi="Cambria" w:eastAsia="黑体" w:cs="Cambria"/>
          <w:b w:val="0"/>
          <w:sz w:val="24"/>
          <w:szCs w:val="24"/>
          <w:lang w:val="en-US"/>
        </w:rPr>
        <w:t>B.2.2 Solid preparations, such as capsules and pills, shall not be administered directly by nasogastric gavage.</w:t>
      </w:r>
    </w:p>
    <w:p w14:paraId="74188D08">
      <w:pPr>
        <w:pStyle w:val="12"/>
        <w:keepNext w:val="0"/>
        <w:keepLines w:val="0"/>
        <w:pageBreakBefore w:val="0"/>
        <w:widowControl w:val="0"/>
        <w:kinsoku/>
        <w:wordWrap/>
        <w:overflowPunct/>
        <w:topLinePunct w:val="0"/>
        <w:autoSpaceDE/>
        <w:autoSpaceDN/>
        <w:bidi w:val="0"/>
        <w:adjustRightInd/>
        <w:snapToGrid w:val="0"/>
        <w:spacing w:before="0" w:after="0" w:line="276" w:lineRule="auto"/>
        <w:jc w:val="left"/>
        <w:textAlignment w:val="auto"/>
        <w:outlineLvl w:val="9"/>
        <w:rPr>
          <w:rFonts w:ascii="Cambria" w:hAnsi="Cambria" w:cs="Cambria"/>
          <w:b w:val="0"/>
          <w:spacing w:val="8"/>
          <w:kern w:val="0"/>
          <w:sz w:val="24"/>
          <w:szCs w:val="24"/>
          <w:lang w:val="en-US"/>
        </w:rPr>
      </w:pPr>
      <w:r>
        <w:rPr>
          <w:rFonts w:ascii="Cambria" w:hAnsi="Cambria" w:eastAsia="黑体" w:cs="Cambria"/>
          <w:b w:val="0"/>
          <w:sz w:val="24"/>
          <w:szCs w:val="24"/>
          <w:lang w:val="en-US"/>
        </w:rPr>
        <w:t>B.2.3 Frequent repeated tube insertion should be avoided as far as possible.</w:t>
      </w:r>
    </w:p>
    <w:p w14:paraId="21EF1854">
      <w:pPr>
        <w:pStyle w:val="12"/>
        <w:keepNext w:val="0"/>
        <w:keepLines w:val="0"/>
        <w:pageBreakBefore w:val="0"/>
        <w:widowControl w:val="0"/>
        <w:kinsoku/>
        <w:wordWrap/>
        <w:overflowPunct/>
        <w:topLinePunct w:val="0"/>
        <w:autoSpaceDE/>
        <w:autoSpaceDN/>
        <w:bidi w:val="0"/>
        <w:adjustRightInd/>
        <w:spacing w:before="312" w:beforeLines="100" w:after="312" w:afterLines="100" w:line="276" w:lineRule="auto"/>
        <w:jc w:val="both"/>
        <w:textAlignment w:val="auto"/>
        <w:outlineLvl w:val="9"/>
        <w:rPr>
          <w:rFonts w:ascii="Cambria" w:hAnsi="Cambria" w:eastAsia="黑体" w:cs="Cambria"/>
          <w:bCs/>
          <w:sz w:val="24"/>
          <w:szCs w:val="24"/>
          <w:lang w:val="en-US"/>
        </w:rPr>
      </w:pPr>
      <w:r>
        <w:rPr>
          <w:rFonts w:ascii="Cambria" w:hAnsi="Cambria" w:eastAsia="黑体" w:cs="Cambria"/>
          <w:bCs/>
          <w:sz w:val="24"/>
          <w:szCs w:val="24"/>
          <w:lang w:val="en-US"/>
        </w:rPr>
        <w:t>B.3  Contraindications for rectal administration of Chinese medicines in pediatrics</w:t>
      </w:r>
    </w:p>
    <w:p w14:paraId="38E8FF9F">
      <w:pPr>
        <w:pStyle w:val="12"/>
        <w:keepNext w:val="0"/>
        <w:keepLines w:val="0"/>
        <w:pageBreakBefore w:val="0"/>
        <w:widowControl w:val="0"/>
        <w:kinsoku/>
        <w:wordWrap/>
        <w:overflowPunct/>
        <w:topLinePunct w:val="0"/>
        <w:autoSpaceDE/>
        <w:autoSpaceDN/>
        <w:bidi w:val="0"/>
        <w:adjustRightInd/>
        <w:snapToGrid w:val="0"/>
        <w:spacing w:line="276" w:lineRule="auto"/>
        <w:jc w:val="left"/>
        <w:textAlignment w:val="auto"/>
        <w:outlineLvl w:val="9"/>
        <w:rPr>
          <w:rFonts w:ascii="Cambria" w:hAnsi="Cambria" w:cs="Cambria"/>
          <w:b w:val="0"/>
          <w:sz w:val="24"/>
          <w:szCs w:val="24"/>
          <w:lang w:val="en-US"/>
        </w:rPr>
      </w:pPr>
      <w:r>
        <w:rPr>
          <w:rFonts w:ascii="Cambria" w:hAnsi="Cambria" w:cs="Cambria"/>
          <w:b w:val="0"/>
          <w:sz w:val="24"/>
          <w:szCs w:val="24"/>
          <w:lang w:val="en-US"/>
        </w:rPr>
        <w:t>B.3.1 Rectal administration should not be used in children after surgery of the anus, rectum or colon, or in children with anal diseases.</w:t>
      </w:r>
    </w:p>
    <w:p w14:paraId="0412A1EC">
      <w:pPr>
        <w:pStyle w:val="12"/>
        <w:keepNext w:val="0"/>
        <w:keepLines w:val="0"/>
        <w:pageBreakBefore w:val="0"/>
        <w:widowControl w:val="0"/>
        <w:kinsoku/>
        <w:wordWrap/>
        <w:overflowPunct/>
        <w:topLinePunct w:val="0"/>
        <w:autoSpaceDE/>
        <w:autoSpaceDN/>
        <w:bidi w:val="0"/>
        <w:adjustRightInd/>
        <w:snapToGrid w:val="0"/>
        <w:spacing w:before="0" w:after="0" w:line="276" w:lineRule="auto"/>
        <w:jc w:val="left"/>
        <w:textAlignment w:val="auto"/>
        <w:outlineLvl w:val="9"/>
        <w:rPr>
          <w:rFonts w:ascii="Cambria" w:hAnsi="Cambria" w:cs="Cambria"/>
          <w:b w:val="0"/>
          <w:sz w:val="24"/>
          <w:szCs w:val="24"/>
          <w:lang w:val="en-US"/>
        </w:rPr>
      </w:pPr>
      <w:r>
        <w:rPr>
          <w:rFonts w:ascii="Cambria" w:hAnsi="Cambria" w:cs="Cambria"/>
          <w:b w:val="0"/>
          <w:sz w:val="24"/>
          <w:szCs w:val="24"/>
          <w:lang w:val="en-US"/>
        </w:rPr>
        <w:t>B.3.2 Rectal administration shall not be used for acute abdomen with suspected intestinal necrosis or perforation. Enema administration should not be used in cases of gastrointestinal bleeding, severe diarrhea, severe cardiovascular disease or other such conditions.</w:t>
      </w:r>
    </w:p>
    <w:p w14:paraId="4B9114F9">
      <w:pPr>
        <w:keepNext w:val="0"/>
        <w:keepLines w:val="0"/>
        <w:pageBreakBefore w:val="0"/>
        <w:widowControl w:val="0"/>
        <w:kinsoku/>
        <w:wordWrap/>
        <w:overflowPunct/>
        <w:topLinePunct w:val="0"/>
        <w:autoSpaceDE/>
        <w:autoSpaceDN/>
        <w:bidi w:val="0"/>
        <w:adjustRightInd/>
        <w:spacing w:line="276" w:lineRule="auto"/>
        <w:jc w:val="left"/>
        <w:textAlignment w:val="auto"/>
        <w:outlineLvl w:val="9"/>
        <w:rPr>
          <w:rFonts w:hint="default" w:ascii="Cambria" w:hAnsi="Cambria" w:eastAsia="黑体" w:cs="Cambria"/>
          <w:sz w:val="24"/>
          <w:szCs w:val="24"/>
        </w:rPr>
      </w:pPr>
    </w:p>
    <w:p w14:paraId="089E85C5">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rFonts w:ascii="Cambria" w:hAnsi="Cambria" w:eastAsia="黑体" w:cs="Cambria"/>
          <w:b/>
          <w:bCs/>
          <w:sz w:val="24"/>
          <w:szCs w:val="24"/>
        </w:rPr>
      </w:pPr>
      <w:r>
        <w:rPr>
          <w:rFonts w:ascii="Cambria" w:hAnsi="Cambria" w:cs="Cambria"/>
          <w:sz w:val="24"/>
          <w:szCs w:val="24"/>
        </w:rPr>
        <w:br w:type="page"/>
      </w:r>
      <w:bookmarkStart w:id="389" w:name="_Toc7366"/>
      <w:r>
        <w:rPr>
          <w:rFonts w:ascii="Cambria" w:hAnsi="Cambria" w:eastAsia="黑体" w:cs="Cambria"/>
          <w:b/>
          <w:bCs/>
          <w:sz w:val="24"/>
          <w:szCs w:val="24"/>
        </w:rPr>
        <w:t>Bibliography</w:t>
      </w:r>
      <w:bookmarkEnd w:id="389"/>
    </w:p>
    <w:p w14:paraId="76DF7CEC">
      <w:pPr>
        <w:spacing w:line="276" w:lineRule="auto"/>
        <w:ind w:firstLine="480" w:firstLineChars="200"/>
        <w:rPr>
          <w:rFonts w:ascii="Cambria" w:hAnsi="Cambria" w:cs="Cambria"/>
          <w:sz w:val="24"/>
          <w:szCs w:val="24"/>
        </w:rPr>
      </w:pPr>
      <w:r>
        <w:rPr>
          <w:rFonts w:ascii="Cambria" w:hAnsi="Cambria" w:cs="Cambria"/>
          <w:sz w:val="24"/>
          <w:szCs w:val="24"/>
        </w:rPr>
        <w:t>[1] Chinese Pharmacopoeia Commission. Pharmacopoeia of the People’s Republic of China: 2025 Edition [M]. Beijing: China Medical Science Press, 2025. [in Chinese].</w:t>
      </w:r>
    </w:p>
    <w:p w14:paraId="7F4A8850">
      <w:pPr>
        <w:spacing w:line="276" w:lineRule="auto"/>
        <w:ind w:firstLine="480" w:firstLineChars="200"/>
        <w:rPr>
          <w:rFonts w:ascii="Cambria" w:hAnsi="Cambria" w:cs="Cambria"/>
          <w:sz w:val="24"/>
          <w:szCs w:val="24"/>
        </w:rPr>
      </w:pPr>
      <w:r>
        <w:rPr>
          <w:rFonts w:ascii="Cambria" w:hAnsi="Cambria" w:cs="Cambria"/>
          <w:sz w:val="24"/>
          <w:szCs w:val="24"/>
        </w:rPr>
        <w:t>[2] China Association of Chinese Medicine. Clinical Guidelines for Diagnosis and Treatment in TCM Pediatrics [M]. Beijing: China Press of Traditional Chinese Medicine, May 2020. [in Chinese].</w:t>
      </w:r>
    </w:p>
    <w:p w14:paraId="19242DC3">
      <w:pPr>
        <w:spacing w:line="276" w:lineRule="auto"/>
        <w:ind w:firstLine="480" w:firstLineChars="200"/>
        <w:rPr>
          <w:rFonts w:ascii="Cambria" w:hAnsi="Cambria" w:cs="Cambria"/>
          <w:sz w:val="24"/>
          <w:szCs w:val="24"/>
        </w:rPr>
      </w:pPr>
      <w:r>
        <w:rPr>
          <w:rFonts w:ascii="Cambria" w:hAnsi="Cambria" w:cs="Cambria"/>
          <w:sz w:val="24"/>
          <w:szCs w:val="24"/>
        </w:rPr>
        <w:t>[3] GB/T 30219—2013, Decocting Machine of Chinese Herbal Medicine. [in Chinese].</w:t>
      </w:r>
    </w:p>
    <w:p w14:paraId="3A8888BE">
      <w:pPr>
        <w:spacing w:line="276" w:lineRule="auto"/>
        <w:ind w:firstLine="480" w:firstLineChars="200"/>
        <w:rPr>
          <w:rFonts w:ascii="Cambria" w:hAnsi="Cambria" w:cs="Cambria"/>
          <w:sz w:val="24"/>
          <w:szCs w:val="24"/>
        </w:rPr>
      </w:pPr>
      <w:r>
        <w:rPr>
          <w:rFonts w:ascii="Cambria" w:hAnsi="Cambria" w:cs="Cambria"/>
          <w:sz w:val="24"/>
          <w:szCs w:val="24"/>
        </w:rPr>
        <w:t>[4] ISO 18665:2022, Traditional Chinese medicine — Herbal decoction apparatus.</w:t>
      </w:r>
    </w:p>
    <w:p w14:paraId="52AFFC36">
      <w:pPr>
        <w:spacing w:line="276" w:lineRule="auto"/>
        <w:ind w:firstLine="480" w:firstLineChars="200"/>
        <w:rPr>
          <w:rFonts w:ascii="Cambria" w:hAnsi="Cambria" w:cs="Cambria"/>
          <w:sz w:val="24"/>
          <w:szCs w:val="24"/>
        </w:rPr>
      </w:pPr>
      <w:r>
        <w:rPr>
          <w:rFonts w:ascii="Cambria" w:hAnsi="Cambria" w:cs="Cambria"/>
          <w:sz w:val="24"/>
          <w:szCs w:val="24"/>
        </w:rPr>
        <w:t>[5] World Health Organization. International Classification of Diseases, Eleventh Revision (ICD-11). Geneva: World Health Organization, 2022.</w:t>
      </w:r>
    </w:p>
    <w:p w14:paraId="698AF0C1">
      <w:pPr>
        <w:spacing w:line="276" w:lineRule="auto"/>
        <w:ind w:firstLine="480" w:firstLineChars="200"/>
        <w:rPr>
          <w:rFonts w:ascii="Cambria" w:hAnsi="Cambria" w:cs="Cambria"/>
          <w:sz w:val="24"/>
          <w:szCs w:val="24"/>
        </w:rPr>
      </w:pPr>
      <w:r>
        <w:rPr>
          <w:rFonts w:ascii="Cambria" w:hAnsi="Cambria" w:cs="Cambria"/>
          <w:sz w:val="24"/>
          <w:szCs w:val="24"/>
        </w:rPr>
        <w:t>[6] GB/T 42282—2022, General Requirements for Traditional Chinese Medicine Decocting Centers. [in Chinese].</w:t>
      </w:r>
    </w:p>
    <w:p w14:paraId="2F6C3199">
      <w:pPr>
        <w:spacing w:line="276" w:lineRule="auto"/>
        <w:ind w:firstLine="480" w:firstLineChars="200"/>
        <w:rPr>
          <w:rFonts w:ascii="Cambria" w:hAnsi="Cambria" w:cs="Cambria"/>
          <w:sz w:val="24"/>
          <w:szCs w:val="24"/>
        </w:rPr>
      </w:pPr>
      <w:r>
        <w:rPr>
          <w:rFonts w:ascii="Cambria" w:hAnsi="Cambria" w:cs="Cambria"/>
          <w:sz w:val="24"/>
          <w:szCs w:val="24"/>
        </w:rPr>
        <w:t>[7] GB 5749—2022, Standards for Drinking Water Quality. [in Chinese].</w:t>
      </w:r>
    </w:p>
    <w:p w14:paraId="6D959524">
      <w:pPr>
        <w:spacing w:line="276" w:lineRule="auto"/>
        <w:ind w:firstLine="480" w:firstLineChars="200"/>
        <w:rPr>
          <w:rFonts w:ascii="Cambria" w:hAnsi="Cambria" w:cs="Cambria"/>
          <w:sz w:val="24"/>
          <w:szCs w:val="24"/>
        </w:rPr>
      </w:pPr>
      <w:r>
        <w:rPr>
          <w:rFonts w:ascii="Cambria" w:hAnsi="Cambria" w:cs="Cambria"/>
          <w:sz w:val="24"/>
          <w:szCs w:val="24"/>
        </w:rPr>
        <w:t>[8] GB 15982—2012, Hygienic Standard for Disinfection in Hospitals. [in Chinese].</w:t>
      </w:r>
    </w:p>
    <w:p w14:paraId="508AA614">
      <w:pPr>
        <w:spacing w:line="276" w:lineRule="auto"/>
        <w:ind w:firstLine="480" w:firstLineChars="200"/>
        <w:rPr>
          <w:rFonts w:ascii="Cambria" w:hAnsi="Cambria" w:cs="Cambria"/>
          <w:sz w:val="24"/>
          <w:szCs w:val="24"/>
        </w:rPr>
      </w:pPr>
      <w:r>
        <w:rPr>
          <w:rFonts w:ascii="Cambria" w:hAnsi="Cambria" w:cs="Cambria"/>
          <w:sz w:val="24"/>
          <w:szCs w:val="24"/>
        </w:rPr>
        <w:t>[9] WS/T 313—2019, Specification of Hand Hygiene for Healthcare Workers. [in Chinese].</w:t>
      </w:r>
    </w:p>
    <w:p w14:paraId="3CB830E3">
      <w:pPr>
        <w:spacing w:line="276" w:lineRule="auto"/>
        <w:ind w:firstLine="480" w:firstLineChars="200"/>
        <w:rPr>
          <w:rFonts w:ascii="Cambria" w:hAnsi="Cambria" w:cs="Cambria"/>
          <w:sz w:val="24"/>
          <w:szCs w:val="24"/>
        </w:rPr>
      </w:pPr>
      <w:r>
        <w:rPr>
          <w:rFonts w:ascii="Cambria" w:hAnsi="Cambria" w:cs="Cambria"/>
          <w:sz w:val="24"/>
          <w:szCs w:val="24"/>
        </w:rPr>
        <w:t>[10] China National Committee for Terms in Sciences and Technologies. Terms in Traditional Chinese Medicine: Internal Medicine, Gynecology and Pediatrics [M]. Beijing: Science Press, 2011. [in Chinese].</w:t>
      </w:r>
    </w:p>
    <w:p w14:paraId="31431161">
      <w:pPr>
        <w:spacing w:line="276" w:lineRule="auto"/>
        <w:ind w:firstLine="480" w:firstLineChars="200"/>
        <w:rPr>
          <w:rFonts w:ascii="Cambria" w:hAnsi="Cambria" w:cs="Cambria"/>
          <w:sz w:val="24"/>
          <w:szCs w:val="24"/>
          <w:highlight w:val="yellow"/>
        </w:rPr>
      </w:pPr>
      <w:r>
        <w:rPr>
          <w:rFonts w:ascii="Cambria" w:hAnsi="Cambria" w:cs="Cambria"/>
          <w:sz w:val="24"/>
          <w:szCs w:val="24"/>
        </w:rPr>
        <w:t>[11] China National Committee for Terms in Sciences and Technologies. Terms in Traditional Chinese Medicine: Surgery, Dermatology and Proctology [M]. Beijing: Science Press, 2014. [in Chinese].</w:t>
      </w:r>
    </w:p>
    <w:p w14:paraId="56242E8C">
      <w:pPr>
        <w:wordWrap w:val="0"/>
        <w:spacing w:line="276" w:lineRule="auto"/>
        <w:ind w:firstLine="480" w:firstLineChars="200"/>
        <w:rPr>
          <w:rFonts w:ascii="Cambria" w:hAnsi="Cambria" w:cs="Cambria"/>
          <w:sz w:val="24"/>
          <w:szCs w:val="24"/>
        </w:rPr>
      </w:pPr>
      <w:r>
        <w:rPr>
          <w:rFonts w:ascii="Cambria" w:hAnsi="Cambria" w:cs="Cambria"/>
          <w:sz w:val="24"/>
          <w:szCs w:val="24"/>
        </w:rPr>
        <w:t>[</w:t>
      </w:r>
      <w:r>
        <w:rPr>
          <w:rFonts w:hint="eastAsia" w:ascii="Cambria" w:hAnsi="Cambria" w:cs="Cambria"/>
          <w:sz w:val="24"/>
          <w:szCs w:val="24"/>
        </w:rPr>
        <w:t>1</w:t>
      </w:r>
      <w:r>
        <w:rPr>
          <w:rFonts w:ascii="Cambria" w:hAnsi="Cambria" w:cs="Cambria"/>
          <w:sz w:val="24"/>
          <w:szCs w:val="24"/>
        </w:rPr>
        <w:t>2] World Health Organization. Pocket book of hospital care for children: guidelines for the management of common childhood illnesses [M/OL]. 2nd ed. Geneva: World Health Organization, 2013 [2025-12-19]. https://iris.who.int/server/api/core/bitstreams/8f110da0-22e6-4ef1-90e4-c9f1b7daa363/content</w:t>
      </w:r>
    </w:p>
    <w:p w14:paraId="57C7914E">
      <w:pPr>
        <w:wordWrap w:val="0"/>
        <w:spacing w:line="276" w:lineRule="auto"/>
        <w:ind w:firstLine="480" w:firstLineChars="200"/>
        <w:rPr>
          <w:rFonts w:ascii="Cambria" w:hAnsi="Cambria" w:cs="Cambria"/>
          <w:sz w:val="24"/>
          <w:szCs w:val="24"/>
        </w:rPr>
      </w:pPr>
      <w:r>
        <w:rPr>
          <w:rFonts w:ascii="Cambria" w:hAnsi="Cambria" w:cs="Cambria"/>
          <w:sz w:val="24"/>
          <w:szCs w:val="24"/>
        </w:rPr>
        <w:t>[</w:t>
      </w:r>
      <w:r>
        <w:rPr>
          <w:rFonts w:hint="eastAsia" w:ascii="Cambria" w:hAnsi="Cambria" w:cs="Cambria"/>
          <w:sz w:val="24"/>
          <w:szCs w:val="24"/>
        </w:rPr>
        <w:t>1</w:t>
      </w:r>
      <w:r>
        <w:rPr>
          <w:rFonts w:ascii="Cambria" w:hAnsi="Cambria" w:cs="Cambria"/>
          <w:sz w:val="24"/>
          <w:szCs w:val="24"/>
        </w:rPr>
        <w:t xml:space="preserve">3] Royal Children's Hospital (RCH). Nasogastric and Orogastric Tube Insertion and Management [EB/OL]. [2025-12-19]. </w:t>
      </w:r>
      <w:r>
        <w:rPr>
          <w:rFonts w:ascii="Cambria" w:hAnsi="Cambria" w:cs="Cambria"/>
          <w:sz w:val="24"/>
          <w:szCs w:val="24"/>
        </w:rPr>
        <w:fldChar w:fldCharType="begin"/>
      </w:r>
      <w:r>
        <w:rPr>
          <w:rFonts w:ascii="Cambria" w:hAnsi="Cambria" w:cs="Cambria"/>
          <w:sz w:val="24"/>
          <w:szCs w:val="24"/>
        </w:rPr>
        <w:instrText xml:space="preserve"> HYPERLINK "https://www.rch.org.au/rchcpg/hospital_clinical_guideline_index/Nasogastric_and_Orogastric_Tube_Insertion_and_Management/" \l "introduction" </w:instrText>
      </w:r>
      <w:r>
        <w:rPr>
          <w:rFonts w:ascii="Cambria" w:hAnsi="Cambria" w:cs="Cambria"/>
          <w:sz w:val="24"/>
          <w:szCs w:val="24"/>
        </w:rPr>
        <w:fldChar w:fldCharType="separate"/>
      </w:r>
      <w:r>
        <w:rPr>
          <w:rStyle w:val="17"/>
          <w:rFonts w:ascii="Cambria" w:hAnsi="Cambria" w:cs="Cambria"/>
          <w:color w:val="auto"/>
          <w:sz w:val="24"/>
          <w:szCs w:val="24"/>
        </w:rPr>
        <w:t>https://www.rch.org.au/rchcpg/hospital_clinical_guideline_index/Nasogastric_and_Orogastric_Tube_Insertion_and_Management/#introduction</w:t>
      </w:r>
      <w:r>
        <w:rPr>
          <w:rStyle w:val="17"/>
          <w:rFonts w:ascii="Cambria" w:hAnsi="Cambria" w:cs="Cambria"/>
          <w:color w:val="auto"/>
          <w:sz w:val="24"/>
          <w:szCs w:val="24"/>
        </w:rPr>
        <w:fldChar w:fldCharType="end"/>
      </w:r>
      <w:r>
        <w:rPr>
          <w:rFonts w:ascii="Cambria" w:hAnsi="Cambria" w:cs="Cambria"/>
          <w:sz w:val="24"/>
          <w:szCs w:val="24"/>
        </w:rPr>
        <w:t>.</w:t>
      </w:r>
    </w:p>
    <w:p w14:paraId="23DFEB2B">
      <w:pPr>
        <w:wordWrap w:val="0"/>
        <w:spacing w:line="276" w:lineRule="auto"/>
        <w:ind w:firstLine="480" w:firstLineChars="200"/>
        <w:rPr>
          <w:rFonts w:ascii="Cambria" w:hAnsi="Cambria" w:cs="Cambria"/>
          <w:sz w:val="24"/>
          <w:szCs w:val="24"/>
        </w:rPr>
      </w:pPr>
      <w:r>
        <w:rPr>
          <w:rFonts w:ascii="Cambria" w:hAnsi="Cambria" w:cs="Cambria"/>
          <w:sz w:val="24"/>
          <w:szCs w:val="24"/>
        </w:rPr>
        <w:t>[</w:t>
      </w:r>
      <w:r>
        <w:rPr>
          <w:rFonts w:hint="eastAsia" w:ascii="Cambria" w:hAnsi="Cambria" w:cs="Cambria"/>
          <w:sz w:val="24"/>
          <w:szCs w:val="24"/>
        </w:rPr>
        <w:t>1</w:t>
      </w:r>
      <w:r>
        <w:rPr>
          <w:rFonts w:ascii="Cambria" w:hAnsi="Cambria" w:cs="Cambria"/>
          <w:sz w:val="24"/>
          <w:szCs w:val="24"/>
        </w:rPr>
        <w:t xml:space="preserve">4] NHS England. Patient safety alert: Nasogastric tube misplacement: continuing risk of death and severe harm [EB/OL]. London: NHS England, 2016 (2022-02-14)[2025-12-19]. </w:t>
      </w:r>
      <w:r>
        <w:rPr>
          <w:rFonts w:ascii="Cambria" w:hAnsi="Cambria" w:cs="Cambria"/>
          <w:sz w:val="24"/>
          <w:szCs w:val="24"/>
        </w:rPr>
        <w:fldChar w:fldCharType="begin"/>
      </w:r>
      <w:r>
        <w:rPr>
          <w:rFonts w:ascii="Cambria" w:hAnsi="Cambria" w:cs="Cambria"/>
          <w:sz w:val="24"/>
          <w:szCs w:val="24"/>
        </w:rPr>
        <w:instrText xml:space="preserve"> HYPERLINK "https://www.england.nhs.uk/publication/patient-safety-alert-nasogastric-tube-misplacement-continuing-risk-of-death-and-severe-harm/" </w:instrText>
      </w:r>
      <w:r>
        <w:rPr>
          <w:rFonts w:ascii="Cambria" w:hAnsi="Cambria" w:cs="Cambria"/>
          <w:sz w:val="24"/>
          <w:szCs w:val="24"/>
        </w:rPr>
        <w:fldChar w:fldCharType="separate"/>
      </w:r>
      <w:r>
        <w:rPr>
          <w:rStyle w:val="17"/>
          <w:rFonts w:ascii="Cambria" w:hAnsi="Cambria" w:cs="Cambria"/>
          <w:color w:val="auto"/>
          <w:sz w:val="24"/>
          <w:szCs w:val="24"/>
        </w:rPr>
        <w:t>https://www.england.nhs.uk/publication/patient-safety-alert-nasogastric-tube-misplacement-continuing-risk-of-death-and-severe-harm/</w:t>
      </w:r>
      <w:r>
        <w:rPr>
          <w:rStyle w:val="17"/>
          <w:rFonts w:ascii="Cambria" w:hAnsi="Cambria" w:cs="Cambria"/>
          <w:color w:val="auto"/>
          <w:sz w:val="24"/>
          <w:szCs w:val="24"/>
        </w:rPr>
        <w:fldChar w:fldCharType="end"/>
      </w:r>
      <w:r>
        <w:rPr>
          <w:rFonts w:ascii="Cambria" w:hAnsi="Cambria" w:cs="Cambria"/>
          <w:sz w:val="24"/>
          <w:szCs w:val="24"/>
        </w:rPr>
        <w:t>.</w:t>
      </w:r>
    </w:p>
    <w:p w14:paraId="3D1358C6">
      <w:pPr>
        <w:wordWrap w:val="0"/>
        <w:spacing w:line="276" w:lineRule="auto"/>
        <w:ind w:firstLine="480" w:firstLineChars="200"/>
        <w:rPr>
          <w:rFonts w:ascii="Cambria" w:hAnsi="Cambria" w:cs="Cambria"/>
          <w:sz w:val="24"/>
          <w:szCs w:val="24"/>
        </w:rPr>
      </w:pPr>
      <w:r>
        <w:rPr>
          <w:rFonts w:ascii="Cambria" w:hAnsi="Cambria" w:cs="Cambria"/>
          <w:sz w:val="24"/>
          <w:szCs w:val="24"/>
        </w:rPr>
        <w:t>[</w:t>
      </w:r>
      <w:r>
        <w:rPr>
          <w:rFonts w:hint="eastAsia" w:ascii="Cambria" w:hAnsi="Cambria" w:cs="Cambria"/>
          <w:sz w:val="24"/>
          <w:szCs w:val="24"/>
        </w:rPr>
        <w:t>1</w:t>
      </w:r>
      <w:r>
        <w:rPr>
          <w:rFonts w:ascii="Cambria" w:hAnsi="Cambria" w:cs="Cambria"/>
          <w:sz w:val="24"/>
          <w:szCs w:val="24"/>
        </w:rPr>
        <w:t>5] NHS England. Patient Safety Alert: Nasogastric tube placement devices DO NOT replace initial position checks: Alert reference number: NHS/PSA/W/2013/001 [R/OL]. London: NHS England, 2013 [2025-12-19]. https://www.england.nhs.uk/wp-content/uploads/2019/12/psa-ng-tube.pdf.</w:t>
      </w:r>
    </w:p>
    <w:p w14:paraId="51CA8578">
      <w:pPr>
        <w:wordWrap w:val="0"/>
        <w:spacing w:line="276" w:lineRule="auto"/>
        <w:ind w:firstLine="480" w:firstLineChars="200"/>
        <w:rPr>
          <w:rFonts w:ascii="Cambria" w:hAnsi="Cambria" w:cs="Cambria"/>
          <w:sz w:val="24"/>
          <w:szCs w:val="24"/>
        </w:rPr>
      </w:pPr>
      <w:r>
        <w:rPr>
          <w:rFonts w:ascii="Cambria" w:hAnsi="Cambria" w:cs="Cambria"/>
          <w:sz w:val="24"/>
          <w:szCs w:val="24"/>
        </w:rPr>
        <w:t>[</w:t>
      </w:r>
      <w:r>
        <w:rPr>
          <w:rFonts w:hint="eastAsia" w:ascii="Cambria" w:hAnsi="Cambria" w:cs="Cambria"/>
          <w:sz w:val="24"/>
          <w:szCs w:val="24"/>
        </w:rPr>
        <w:t>1</w:t>
      </w:r>
      <w:r>
        <w:rPr>
          <w:rFonts w:ascii="Cambria" w:hAnsi="Cambria" w:cs="Cambria"/>
          <w:sz w:val="24"/>
          <w:szCs w:val="24"/>
        </w:rPr>
        <w:t xml:space="preserve">6] NSW Health. Nasogastric and Orogastric Tube Insertion and Management in Neonates, Infants and Children [M/OL]. Sydney: NSW Health, 2023[2025-12-19]. </w:t>
      </w:r>
      <w:r>
        <w:rPr>
          <w:rFonts w:ascii="Cambria" w:hAnsi="Cambria" w:cs="Cambria"/>
          <w:sz w:val="24"/>
          <w:szCs w:val="24"/>
        </w:rPr>
        <w:fldChar w:fldCharType="begin"/>
      </w:r>
      <w:r>
        <w:rPr>
          <w:rFonts w:ascii="Cambria" w:hAnsi="Cambria" w:cs="Cambria"/>
          <w:sz w:val="24"/>
          <w:szCs w:val="24"/>
        </w:rPr>
        <w:instrText xml:space="preserve"> HYPERLINK "https://www1.health.nsw.gov.au/pds/ActivePDSDocuments/GL2025_015.pdf" </w:instrText>
      </w:r>
      <w:r>
        <w:rPr>
          <w:rFonts w:ascii="Cambria" w:hAnsi="Cambria" w:cs="Cambria"/>
          <w:sz w:val="24"/>
          <w:szCs w:val="24"/>
        </w:rPr>
        <w:fldChar w:fldCharType="separate"/>
      </w:r>
      <w:r>
        <w:rPr>
          <w:rStyle w:val="17"/>
          <w:rFonts w:ascii="Cambria" w:hAnsi="Cambria" w:cs="Cambria"/>
          <w:color w:val="auto"/>
          <w:sz w:val="24"/>
          <w:szCs w:val="24"/>
        </w:rPr>
        <w:t>https://www1.health.nsw.gov.au/pds/ActivePDSDocuments/GL2025_015.pdf</w:t>
      </w:r>
      <w:r>
        <w:rPr>
          <w:rStyle w:val="17"/>
          <w:rFonts w:ascii="Cambria" w:hAnsi="Cambria" w:cs="Cambria"/>
          <w:color w:val="auto"/>
          <w:sz w:val="24"/>
          <w:szCs w:val="24"/>
        </w:rPr>
        <w:fldChar w:fldCharType="end"/>
      </w:r>
    </w:p>
    <w:p w14:paraId="00DAAEEE">
      <w:pPr>
        <w:wordWrap w:val="0"/>
        <w:spacing w:line="276" w:lineRule="auto"/>
        <w:ind w:firstLine="480" w:firstLineChars="200"/>
        <w:rPr>
          <w:rFonts w:ascii="Cambria" w:hAnsi="Cambria" w:cs="Cambria"/>
          <w:b/>
          <w:color w:val="C00000"/>
          <w:sz w:val="24"/>
          <w:szCs w:val="24"/>
        </w:rPr>
      </w:pPr>
      <w:r>
        <w:rPr>
          <w:rFonts w:ascii="Cambria" w:hAnsi="Cambria" w:cs="Cambria"/>
          <w:sz w:val="24"/>
          <w:szCs w:val="24"/>
        </w:rPr>
        <w:t>[</w:t>
      </w:r>
      <w:r>
        <w:rPr>
          <w:rFonts w:hint="eastAsia" w:ascii="Cambria" w:hAnsi="Cambria" w:cs="Cambria"/>
          <w:sz w:val="24"/>
          <w:szCs w:val="24"/>
        </w:rPr>
        <w:t>1</w:t>
      </w:r>
      <w:r>
        <w:rPr>
          <w:rFonts w:ascii="Cambria" w:hAnsi="Cambria" w:cs="Cambria"/>
          <w:sz w:val="24"/>
          <w:szCs w:val="24"/>
        </w:rPr>
        <w:t>7] Irving S Y, Rempel G, Lyman B, et al.; The American Society for Parenteral and Enteral Nutrition (ASPEN). Pediatric Nasogastric Tube Placement and Verification: Best Practice Recommendations From the NOVEL Project [J/OL]. Nutrition in Clinical Practice, 2018, 33 (4): 511-526 [2025-12-19]. https://aspenjournals.onlinelibrary.wiley.com/doi/10.1002/ncp.10189. DOI: 10.1002/ncp.10189/</w:t>
      </w:r>
    </w:p>
    <w:p w14:paraId="42B68C46">
      <w:pPr>
        <w:wordWrap w:val="0"/>
        <w:spacing w:beforeLines="0" w:line="276" w:lineRule="auto"/>
        <w:ind w:left="0" w:leftChars="0" w:firstLine="420" w:firstLineChars="200"/>
        <w:rPr>
          <w:rFonts w:hint="default" w:ascii="Cambria" w:hAnsi="Cambria" w:eastAsia="宋体" w:cs="Cambria"/>
          <w:b w:val="0"/>
          <w:sz w:val="21"/>
          <w:szCs w:val="21"/>
          <w:lang w:val="en-US" w:eastAsia="zh-CN"/>
        </w:rPr>
      </w:pPr>
    </w:p>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2846ABE-E37F-44CA-B994-11C70222E4FA}"/>
  </w:font>
  <w:font w:name="黑体">
    <w:panose1 w:val="02010609060101010101"/>
    <w:charset w:val="86"/>
    <w:family w:val="auto"/>
    <w:pitch w:val="default"/>
    <w:sig w:usb0="800002BF" w:usb1="38CF7CFA" w:usb2="00000016" w:usb3="00000000" w:csb0="00040001" w:csb1="00000000"/>
    <w:embedRegular r:id="rId2" w:fontKey="{73B095AC-07B0-4AF5-833B-C029384100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515C0B68-B4D0-410C-8E2B-7BDD07565CFA}"/>
  </w:font>
  <w:font w:name="等线">
    <w:panose1 w:val="02010600030101010101"/>
    <w:charset w:val="86"/>
    <w:family w:val="auto"/>
    <w:pitch w:val="default"/>
    <w:sig w:usb0="A00002BF" w:usb1="38CF7CFA" w:usb2="00000016" w:usb3="00000000" w:csb0="0004000F" w:csb1="00000000"/>
    <w:embedRegular r:id="rId4" w:fontKey="{1DD2D670-34D0-4A5E-B475-C267CC1443C3}"/>
  </w:font>
  <w:font w:name="华文仿宋">
    <w:panose1 w:val="02010600040101010101"/>
    <w:charset w:val="86"/>
    <w:family w:val="auto"/>
    <w:pitch w:val="default"/>
    <w:sig w:usb0="00000287" w:usb1="080F0000" w:usb2="00000000" w:usb3="00000000" w:csb0="0004009F" w:csb1="DFD70000"/>
    <w:embedRegular r:id="rId5" w:fontKey="{F678E80E-900A-4EA7-9EAF-C86557C3863B}"/>
  </w:font>
  <w:font w:name="Times New Roman Regular">
    <w:altName w:val="Times New Roman"/>
    <w:panose1 w:val="00000000000000000000"/>
    <w:charset w:val="00"/>
    <w:family w:val="auto"/>
    <w:pitch w:val="default"/>
    <w:sig w:usb0="00000000" w:usb1="00000000" w:usb2="00000001" w:usb3="00000000" w:csb0="400001BF" w:csb1="DFF70000"/>
    <w:embedRegular r:id="rId6" w:fontKey="{FB2A1A10-C12F-49C1-A87F-E35740DAFD7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7DFEE">
    <w:pPr>
      <w:pStyle w:val="7"/>
      <w:jc w:val="center"/>
    </w:pPr>
    <w:r>
      <w:fldChar w:fldCharType="begin"/>
    </w:r>
    <w:r>
      <w:instrText xml:space="preserve">PAGE   \* MERGEFORMAT</w:instrText>
    </w:r>
    <w:r>
      <w:fldChar w:fldCharType="separate"/>
    </w:r>
    <w:r>
      <w:rPr>
        <w:lang w:val="zh-CN"/>
      </w:rPr>
      <w:t>II</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226A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5BD27">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55BD27">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F5812">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0CD79">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A0CD79">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F1819">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ED51F">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A0866">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500"/>
  <w:drawingGridHorizontalSpacing w:val="0"/>
  <w:drawingGridVerticalSpacing w:val="156"/>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M3MjdkZGI0MWMwZjc0NjZjMGY4MDFlODhlYzhhNWQifQ=="/>
  </w:docVars>
  <w:rsids>
    <w:rsidRoot w:val="00172A27"/>
    <w:rsid w:val="00024961"/>
    <w:rsid w:val="00024A6A"/>
    <w:rsid w:val="0002546E"/>
    <w:rsid w:val="00042E79"/>
    <w:rsid w:val="00043BD1"/>
    <w:rsid w:val="000466BF"/>
    <w:rsid w:val="00051806"/>
    <w:rsid w:val="00053596"/>
    <w:rsid w:val="000808BF"/>
    <w:rsid w:val="00095C74"/>
    <w:rsid w:val="000A178F"/>
    <w:rsid w:val="000A4074"/>
    <w:rsid w:val="000A472A"/>
    <w:rsid w:val="000A751C"/>
    <w:rsid w:val="000B1295"/>
    <w:rsid w:val="000C7690"/>
    <w:rsid w:val="000D2142"/>
    <w:rsid w:val="000D3AB9"/>
    <w:rsid w:val="000E6D02"/>
    <w:rsid w:val="000F5E3D"/>
    <w:rsid w:val="00105C38"/>
    <w:rsid w:val="00133190"/>
    <w:rsid w:val="00134628"/>
    <w:rsid w:val="00135446"/>
    <w:rsid w:val="001475D4"/>
    <w:rsid w:val="00172A27"/>
    <w:rsid w:val="001771D3"/>
    <w:rsid w:val="001836CA"/>
    <w:rsid w:val="001A2354"/>
    <w:rsid w:val="001A3444"/>
    <w:rsid w:val="001C692D"/>
    <w:rsid w:val="001C6DE8"/>
    <w:rsid w:val="001D1D8C"/>
    <w:rsid w:val="001F5289"/>
    <w:rsid w:val="00207C57"/>
    <w:rsid w:val="00211586"/>
    <w:rsid w:val="002122E4"/>
    <w:rsid w:val="00212E32"/>
    <w:rsid w:val="00237728"/>
    <w:rsid w:val="00244EAE"/>
    <w:rsid w:val="00247E09"/>
    <w:rsid w:val="00253696"/>
    <w:rsid w:val="002835E8"/>
    <w:rsid w:val="00292FCE"/>
    <w:rsid w:val="002A1FDA"/>
    <w:rsid w:val="002C11D1"/>
    <w:rsid w:val="002C39C0"/>
    <w:rsid w:val="00306EBF"/>
    <w:rsid w:val="00312AB6"/>
    <w:rsid w:val="00312BE0"/>
    <w:rsid w:val="0034243C"/>
    <w:rsid w:val="00343676"/>
    <w:rsid w:val="0034549D"/>
    <w:rsid w:val="00350577"/>
    <w:rsid w:val="00357697"/>
    <w:rsid w:val="00362641"/>
    <w:rsid w:val="003D2DF5"/>
    <w:rsid w:val="00401BA4"/>
    <w:rsid w:val="00406095"/>
    <w:rsid w:val="00414268"/>
    <w:rsid w:val="00422C77"/>
    <w:rsid w:val="0042400E"/>
    <w:rsid w:val="00470403"/>
    <w:rsid w:val="0047070C"/>
    <w:rsid w:val="004900C4"/>
    <w:rsid w:val="00491651"/>
    <w:rsid w:val="004A0317"/>
    <w:rsid w:val="004A2151"/>
    <w:rsid w:val="004A36F4"/>
    <w:rsid w:val="004D66A1"/>
    <w:rsid w:val="004E2D0A"/>
    <w:rsid w:val="004E2F65"/>
    <w:rsid w:val="004E4C3A"/>
    <w:rsid w:val="004F1585"/>
    <w:rsid w:val="00561316"/>
    <w:rsid w:val="00564A53"/>
    <w:rsid w:val="00566177"/>
    <w:rsid w:val="0057368A"/>
    <w:rsid w:val="00586468"/>
    <w:rsid w:val="00587F31"/>
    <w:rsid w:val="00596D86"/>
    <w:rsid w:val="00597580"/>
    <w:rsid w:val="005A613E"/>
    <w:rsid w:val="005B63C4"/>
    <w:rsid w:val="005E12C3"/>
    <w:rsid w:val="005E6511"/>
    <w:rsid w:val="00603CB2"/>
    <w:rsid w:val="006145B2"/>
    <w:rsid w:val="0061784F"/>
    <w:rsid w:val="006205FD"/>
    <w:rsid w:val="00626473"/>
    <w:rsid w:val="00652141"/>
    <w:rsid w:val="006536A5"/>
    <w:rsid w:val="00673736"/>
    <w:rsid w:val="00680FDF"/>
    <w:rsid w:val="006828A1"/>
    <w:rsid w:val="0068647C"/>
    <w:rsid w:val="0069764A"/>
    <w:rsid w:val="006A3F13"/>
    <w:rsid w:val="006C62B8"/>
    <w:rsid w:val="006D089D"/>
    <w:rsid w:val="006D4DB5"/>
    <w:rsid w:val="006D7FD7"/>
    <w:rsid w:val="006E2ABC"/>
    <w:rsid w:val="006F1ABD"/>
    <w:rsid w:val="006F3E44"/>
    <w:rsid w:val="00700445"/>
    <w:rsid w:val="007125F2"/>
    <w:rsid w:val="00714ED3"/>
    <w:rsid w:val="007163DB"/>
    <w:rsid w:val="00731085"/>
    <w:rsid w:val="0073693F"/>
    <w:rsid w:val="00782DFE"/>
    <w:rsid w:val="00784E1B"/>
    <w:rsid w:val="0078626F"/>
    <w:rsid w:val="00794552"/>
    <w:rsid w:val="007A7993"/>
    <w:rsid w:val="007C4CA2"/>
    <w:rsid w:val="007D5FBB"/>
    <w:rsid w:val="007E2ED7"/>
    <w:rsid w:val="007F6243"/>
    <w:rsid w:val="007F7476"/>
    <w:rsid w:val="00810A03"/>
    <w:rsid w:val="00814265"/>
    <w:rsid w:val="00823C53"/>
    <w:rsid w:val="00872609"/>
    <w:rsid w:val="00874BB6"/>
    <w:rsid w:val="00882957"/>
    <w:rsid w:val="008833AA"/>
    <w:rsid w:val="00886EF1"/>
    <w:rsid w:val="0088762B"/>
    <w:rsid w:val="008C2D2F"/>
    <w:rsid w:val="008D1B4E"/>
    <w:rsid w:val="008D3DAF"/>
    <w:rsid w:val="008F2462"/>
    <w:rsid w:val="009024C4"/>
    <w:rsid w:val="00910A1D"/>
    <w:rsid w:val="00912A6B"/>
    <w:rsid w:val="009175F4"/>
    <w:rsid w:val="00940A6D"/>
    <w:rsid w:val="00943777"/>
    <w:rsid w:val="00955C26"/>
    <w:rsid w:val="00961701"/>
    <w:rsid w:val="0096202F"/>
    <w:rsid w:val="00967AE9"/>
    <w:rsid w:val="0099521F"/>
    <w:rsid w:val="00997507"/>
    <w:rsid w:val="009B0E9D"/>
    <w:rsid w:val="009B2160"/>
    <w:rsid w:val="009B6D12"/>
    <w:rsid w:val="009C4AF5"/>
    <w:rsid w:val="009C5694"/>
    <w:rsid w:val="009D644E"/>
    <w:rsid w:val="009D7AE9"/>
    <w:rsid w:val="009E7446"/>
    <w:rsid w:val="009F5A5B"/>
    <w:rsid w:val="00A01A99"/>
    <w:rsid w:val="00A042BE"/>
    <w:rsid w:val="00A0693F"/>
    <w:rsid w:val="00A122CA"/>
    <w:rsid w:val="00A30861"/>
    <w:rsid w:val="00A35D93"/>
    <w:rsid w:val="00A54B8A"/>
    <w:rsid w:val="00A63DFF"/>
    <w:rsid w:val="00A7574B"/>
    <w:rsid w:val="00A9790C"/>
    <w:rsid w:val="00AA31C7"/>
    <w:rsid w:val="00AB03EF"/>
    <w:rsid w:val="00AB33B0"/>
    <w:rsid w:val="00AB412F"/>
    <w:rsid w:val="00AC2AE9"/>
    <w:rsid w:val="00AE5036"/>
    <w:rsid w:val="00AE529B"/>
    <w:rsid w:val="00AF3780"/>
    <w:rsid w:val="00B02586"/>
    <w:rsid w:val="00B11255"/>
    <w:rsid w:val="00B255B3"/>
    <w:rsid w:val="00B313AC"/>
    <w:rsid w:val="00B45196"/>
    <w:rsid w:val="00B6088D"/>
    <w:rsid w:val="00B71C09"/>
    <w:rsid w:val="00B800F2"/>
    <w:rsid w:val="00B8651D"/>
    <w:rsid w:val="00BB513C"/>
    <w:rsid w:val="00BC0097"/>
    <w:rsid w:val="00BC4C0C"/>
    <w:rsid w:val="00BC6CE7"/>
    <w:rsid w:val="00BD0F35"/>
    <w:rsid w:val="00BD4A35"/>
    <w:rsid w:val="00BE3182"/>
    <w:rsid w:val="00BE5004"/>
    <w:rsid w:val="00BF30A9"/>
    <w:rsid w:val="00BF4ABC"/>
    <w:rsid w:val="00C03D3C"/>
    <w:rsid w:val="00C056E4"/>
    <w:rsid w:val="00C0735C"/>
    <w:rsid w:val="00C211D0"/>
    <w:rsid w:val="00C324FB"/>
    <w:rsid w:val="00C33E66"/>
    <w:rsid w:val="00C35202"/>
    <w:rsid w:val="00C35B5D"/>
    <w:rsid w:val="00C364CC"/>
    <w:rsid w:val="00C41A1F"/>
    <w:rsid w:val="00C44C01"/>
    <w:rsid w:val="00C53CBD"/>
    <w:rsid w:val="00C66DF2"/>
    <w:rsid w:val="00C70C27"/>
    <w:rsid w:val="00C9365C"/>
    <w:rsid w:val="00C93D03"/>
    <w:rsid w:val="00CA12AC"/>
    <w:rsid w:val="00CB0C3C"/>
    <w:rsid w:val="00CB5F04"/>
    <w:rsid w:val="00CD17FE"/>
    <w:rsid w:val="00CD26A6"/>
    <w:rsid w:val="00CD451D"/>
    <w:rsid w:val="00CD735F"/>
    <w:rsid w:val="00CE7F55"/>
    <w:rsid w:val="00CF5866"/>
    <w:rsid w:val="00CF5D55"/>
    <w:rsid w:val="00D30253"/>
    <w:rsid w:val="00D65041"/>
    <w:rsid w:val="00D74AA3"/>
    <w:rsid w:val="00D80A9C"/>
    <w:rsid w:val="00D87A7F"/>
    <w:rsid w:val="00D87FA7"/>
    <w:rsid w:val="00D913F9"/>
    <w:rsid w:val="00D942EF"/>
    <w:rsid w:val="00D9675A"/>
    <w:rsid w:val="00DB03AA"/>
    <w:rsid w:val="00DC0E94"/>
    <w:rsid w:val="00DC1785"/>
    <w:rsid w:val="00DC71AA"/>
    <w:rsid w:val="00DF42F2"/>
    <w:rsid w:val="00E1323E"/>
    <w:rsid w:val="00E236D9"/>
    <w:rsid w:val="00E25D24"/>
    <w:rsid w:val="00E43D9F"/>
    <w:rsid w:val="00E5331A"/>
    <w:rsid w:val="00E53E05"/>
    <w:rsid w:val="00E55F58"/>
    <w:rsid w:val="00E8106E"/>
    <w:rsid w:val="00E90B55"/>
    <w:rsid w:val="00E972C3"/>
    <w:rsid w:val="00EC60A7"/>
    <w:rsid w:val="00EE2ED5"/>
    <w:rsid w:val="00EF6320"/>
    <w:rsid w:val="00F051E8"/>
    <w:rsid w:val="00F07C2E"/>
    <w:rsid w:val="00F13C58"/>
    <w:rsid w:val="00F17A1F"/>
    <w:rsid w:val="00F25A4E"/>
    <w:rsid w:val="00F44C49"/>
    <w:rsid w:val="00F47C79"/>
    <w:rsid w:val="00F61BDB"/>
    <w:rsid w:val="00F85071"/>
    <w:rsid w:val="00F85149"/>
    <w:rsid w:val="00F93B32"/>
    <w:rsid w:val="00FA1291"/>
    <w:rsid w:val="00FB6B44"/>
    <w:rsid w:val="00FC1468"/>
    <w:rsid w:val="00FC2C6B"/>
    <w:rsid w:val="00FC536B"/>
    <w:rsid w:val="00FC6E1C"/>
    <w:rsid w:val="00FD46CB"/>
    <w:rsid w:val="00FD5A06"/>
    <w:rsid w:val="00FE046E"/>
    <w:rsid w:val="00FF0175"/>
    <w:rsid w:val="00FF56CD"/>
    <w:rsid w:val="02E155DE"/>
    <w:rsid w:val="03B60BF9"/>
    <w:rsid w:val="0AF45F7D"/>
    <w:rsid w:val="0C867766"/>
    <w:rsid w:val="0D531267"/>
    <w:rsid w:val="0E082544"/>
    <w:rsid w:val="0E807E3A"/>
    <w:rsid w:val="0EAFF6C5"/>
    <w:rsid w:val="0EE60354"/>
    <w:rsid w:val="0F5B51BC"/>
    <w:rsid w:val="0F927D0D"/>
    <w:rsid w:val="0FDF4D59"/>
    <w:rsid w:val="0FED14FF"/>
    <w:rsid w:val="0FF45342"/>
    <w:rsid w:val="10741C20"/>
    <w:rsid w:val="126D7AAE"/>
    <w:rsid w:val="12887F46"/>
    <w:rsid w:val="12D70724"/>
    <w:rsid w:val="13F84916"/>
    <w:rsid w:val="17316A1C"/>
    <w:rsid w:val="17BB5306"/>
    <w:rsid w:val="19F79FEB"/>
    <w:rsid w:val="1AA57EF6"/>
    <w:rsid w:val="1AAC6B2F"/>
    <w:rsid w:val="1AC27E92"/>
    <w:rsid w:val="1BA40008"/>
    <w:rsid w:val="1BCC0B62"/>
    <w:rsid w:val="1BFE4A94"/>
    <w:rsid w:val="1E917E41"/>
    <w:rsid w:val="22A44899"/>
    <w:rsid w:val="238B30B1"/>
    <w:rsid w:val="247C5E5F"/>
    <w:rsid w:val="27DD23BC"/>
    <w:rsid w:val="28235FAE"/>
    <w:rsid w:val="2A383867"/>
    <w:rsid w:val="2B125E66"/>
    <w:rsid w:val="2BF56113"/>
    <w:rsid w:val="2CC204E1"/>
    <w:rsid w:val="2FCCB07E"/>
    <w:rsid w:val="2FD79366"/>
    <w:rsid w:val="30153EB7"/>
    <w:rsid w:val="317F9D51"/>
    <w:rsid w:val="33997124"/>
    <w:rsid w:val="35D7083E"/>
    <w:rsid w:val="367E0853"/>
    <w:rsid w:val="375E5B45"/>
    <w:rsid w:val="391334D5"/>
    <w:rsid w:val="39573835"/>
    <w:rsid w:val="39A8688F"/>
    <w:rsid w:val="39C46EC5"/>
    <w:rsid w:val="3AE16919"/>
    <w:rsid w:val="3BA3FAB3"/>
    <w:rsid w:val="3BF364B2"/>
    <w:rsid w:val="3BFF6057"/>
    <w:rsid w:val="3D6FAAA4"/>
    <w:rsid w:val="3DD7E9B8"/>
    <w:rsid w:val="3DFD96C8"/>
    <w:rsid w:val="3E9EAA5A"/>
    <w:rsid w:val="3F743596"/>
    <w:rsid w:val="3F8F364D"/>
    <w:rsid w:val="3FDF8A89"/>
    <w:rsid w:val="3FEEBEEB"/>
    <w:rsid w:val="3FEF33A3"/>
    <w:rsid w:val="3FF621B9"/>
    <w:rsid w:val="3FFC912D"/>
    <w:rsid w:val="40A549F1"/>
    <w:rsid w:val="437033EF"/>
    <w:rsid w:val="4391606A"/>
    <w:rsid w:val="44305883"/>
    <w:rsid w:val="45C35496"/>
    <w:rsid w:val="45F7C4C3"/>
    <w:rsid w:val="46050649"/>
    <w:rsid w:val="46974511"/>
    <w:rsid w:val="46B06807"/>
    <w:rsid w:val="46B7B421"/>
    <w:rsid w:val="483B0352"/>
    <w:rsid w:val="4A9732D1"/>
    <w:rsid w:val="4C1A2C25"/>
    <w:rsid w:val="4C505295"/>
    <w:rsid w:val="4D185F4C"/>
    <w:rsid w:val="4DE70587"/>
    <w:rsid w:val="4E731FFB"/>
    <w:rsid w:val="4F361873"/>
    <w:rsid w:val="4F77B21C"/>
    <w:rsid w:val="518014CC"/>
    <w:rsid w:val="51EB4B4A"/>
    <w:rsid w:val="525C5B6E"/>
    <w:rsid w:val="538D64E6"/>
    <w:rsid w:val="54515432"/>
    <w:rsid w:val="557D5F97"/>
    <w:rsid w:val="55CE6CAA"/>
    <w:rsid w:val="55DEEC76"/>
    <w:rsid w:val="560501F2"/>
    <w:rsid w:val="575B0DFE"/>
    <w:rsid w:val="57ADFCE9"/>
    <w:rsid w:val="581C1E2A"/>
    <w:rsid w:val="583B7115"/>
    <w:rsid w:val="5B705EC8"/>
    <w:rsid w:val="5C6BA434"/>
    <w:rsid w:val="5CDD9C8D"/>
    <w:rsid w:val="5D4F1254"/>
    <w:rsid w:val="5DE30E18"/>
    <w:rsid w:val="5DFF1433"/>
    <w:rsid w:val="5F6AAD86"/>
    <w:rsid w:val="5F6E528E"/>
    <w:rsid w:val="5FBF381E"/>
    <w:rsid w:val="612153AB"/>
    <w:rsid w:val="622F0AD0"/>
    <w:rsid w:val="626D784A"/>
    <w:rsid w:val="64E84BF1"/>
    <w:rsid w:val="6608F990"/>
    <w:rsid w:val="66FBEA67"/>
    <w:rsid w:val="67B402F9"/>
    <w:rsid w:val="68DA2437"/>
    <w:rsid w:val="69FF2826"/>
    <w:rsid w:val="6BA9FEF8"/>
    <w:rsid w:val="6BC76B52"/>
    <w:rsid w:val="6BD5CD54"/>
    <w:rsid w:val="6E1B015A"/>
    <w:rsid w:val="6E3B2605"/>
    <w:rsid w:val="6EE655EE"/>
    <w:rsid w:val="6F77A18D"/>
    <w:rsid w:val="6FBDC680"/>
    <w:rsid w:val="6FFB765D"/>
    <w:rsid w:val="72AF03FF"/>
    <w:rsid w:val="73FF0A5C"/>
    <w:rsid w:val="73FFFE64"/>
    <w:rsid w:val="75A36A33"/>
    <w:rsid w:val="75B7E9BF"/>
    <w:rsid w:val="75FF4072"/>
    <w:rsid w:val="77BB6CF8"/>
    <w:rsid w:val="77E77CF6"/>
    <w:rsid w:val="77EED824"/>
    <w:rsid w:val="799D190A"/>
    <w:rsid w:val="79B782AE"/>
    <w:rsid w:val="79BD2A0E"/>
    <w:rsid w:val="79CE1704"/>
    <w:rsid w:val="7A536790"/>
    <w:rsid w:val="7BBFAC61"/>
    <w:rsid w:val="7BD44294"/>
    <w:rsid w:val="7BF77334"/>
    <w:rsid w:val="7C986850"/>
    <w:rsid w:val="7CFFF95D"/>
    <w:rsid w:val="7DBB0940"/>
    <w:rsid w:val="7DFA68E6"/>
    <w:rsid w:val="7E77439B"/>
    <w:rsid w:val="7EFBBD46"/>
    <w:rsid w:val="7F6D8A0D"/>
    <w:rsid w:val="7F765DF3"/>
    <w:rsid w:val="7F7BC40D"/>
    <w:rsid w:val="7F7C4A49"/>
    <w:rsid w:val="7FDB55A7"/>
    <w:rsid w:val="7FDF71E0"/>
    <w:rsid w:val="7FE66806"/>
    <w:rsid w:val="7FFB9010"/>
    <w:rsid w:val="7FFF1E6B"/>
    <w:rsid w:val="7FFFCBAB"/>
    <w:rsid w:val="8BF79922"/>
    <w:rsid w:val="955FDFC3"/>
    <w:rsid w:val="9AFEE1ED"/>
    <w:rsid w:val="9B6EF5E5"/>
    <w:rsid w:val="9CAE9EBD"/>
    <w:rsid w:val="9EEFF597"/>
    <w:rsid w:val="9FCD0779"/>
    <w:rsid w:val="9FDF0775"/>
    <w:rsid w:val="AA7F539E"/>
    <w:rsid w:val="AFFCFFF3"/>
    <w:rsid w:val="B3DDDCCF"/>
    <w:rsid w:val="B7C78716"/>
    <w:rsid w:val="B7FF9DCF"/>
    <w:rsid w:val="BAEFE3EC"/>
    <w:rsid w:val="BB2DA3C8"/>
    <w:rsid w:val="BBA93751"/>
    <w:rsid w:val="BDEBDA7A"/>
    <w:rsid w:val="BDFFE7A7"/>
    <w:rsid w:val="BE5FA8C7"/>
    <w:rsid w:val="BF4D6B84"/>
    <w:rsid w:val="BF77755A"/>
    <w:rsid w:val="BFABA686"/>
    <w:rsid w:val="BFD5F23D"/>
    <w:rsid w:val="BFFB6CF6"/>
    <w:rsid w:val="C6DD677F"/>
    <w:rsid w:val="C7F32B70"/>
    <w:rsid w:val="C8E7CF93"/>
    <w:rsid w:val="CEF3094D"/>
    <w:rsid w:val="D1EFD961"/>
    <w:rsid w:val="D27CB81E"/>
    <w:rsid w:val="D55D1102"/>
    <w:rsid w:val="D6777164"/>
    <w:rsid w:val="DB6F71D9"/>
    <w:rsid w:val="DBEF2B5C"/>
    <w:rsid w:val="DDE362A3"/>
    <w:rsid w:val="DEE3FF71"/>
    <w:rsid w:val="DF6F82E2"/>
    <w:rsid w:val="DF9FD737"/>
    <w:rsid w:val="DFDEF564"/>
    <w:rsid w:val="DFEB4E36"/>
    <w:rsid w:val="E5743280"/>
    <w:rsid w:val="E778A9FC"/>
    <w:rsid w:val="EBDCB4F7"/>
    <w:rsid w:val="EBDD3B57"/>
    <w:rsid w:val="EBFBF3DB"/>
    <w:rsid w:val="ECFEA302"/>
    <w:rsid w:val="EDE71A78"/>
    <w:rsid w:val="EFBF2F52"/>
    <w:rsid w:val="EFD76665"/>
    <w:rsid w:val="F3EFD9C3"/>
    <w:rsid w:val="F3FE1FC0"/>
    <w:rsid w:val="F5761298"/>
    <w:rsid w:val="F5E27E06"/>
    <w:rsid w:val="F5FF0BBD"/>
    <w:rsid w:val="F78F16F3"/>
    <w:rsid w:val="F7EDB9B2"/>
    <w:rsid w:val="F7F60C45"/>
    <w:rsid w:val="F7F70C52"/>
    <w:rsid w:val="F7FB2394"/>
    <w:rsid w:val="F9FF540A"/>
    <w:rsid w:val="FB9E0ABC"/>
    <w:rsid w:val="FBB7A439"/>
    <w:rsid w:val="FBBFBEAA"/>
    <w:rsid w:val="FBE1001E"/>
    <w:rsid w:val="FC596034"/>
    <w:rsid w:val="FDB87B57"/>
    <w:rsid w:val="FDFD9AC0"/>
    <w:rsid w:val="FDFFC04C"/>
    <w:rsid w:val="FDFFC6FF"/>
    <w:rsid w:val="FEF7B9FA"/>
    <w:rsid w:val="FEFA8D3A"/>
    <w:rsid w:val="FEFB6023"/>
    <w:rsid w:val="FEFBE02D"/>
    <w:rsid w:val="FF7DD611"/>
    <w:rsid w:val="FF7E84AE"/>
    <w:rsid w:val="FF9F5387"/>
    <w:rsid w:val="FFBB95AA"/>
    <w:rsid w:val="FFBD0DDE"/>
    <w:rsid w:val="FFDE2FE2"/>
    <w:rsid w:val="FFFA8491"/>
    <w:rsid w:val="FFFBE82C"/>
    <w:rsid w:val="FFFDA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ocked="1"/>
    <w:lsdException w:qFormat="1" w:uiPriority="39" w:semiHidden="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locked/>
    <w:uiPriority w:val="0"/>
    <w:pPr>
      <w:keepNext/>
      <w:keepLines/>
      <w:spacing w:before="340" w:after="330" w:line="578" w:lineRule="auto"/>
      <w:outlineLvl w:val="0"/>
    </w:pPr>
    <w:rPr>
      <w:b/>
      <w:bCs/>
      <w:kern w:val="44"/>
      <w:sz w:val="44"/>
      <w:szCs w:val="44"/>
    </w:rPr>
  </w:style>
  <w:style w:type="paragraph" w:styleId="3">
    <w:name w:val="heading 2"/>
    <w:basedOn w:val="1"/>
    <w:link w:val="20"/>
    <w:qFormat/>
    <w:locked/>
    <w:uiPriority w:val="0"/>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99"/>
    <w:pPr>
      <w:jc w:val="left"/>
    </w:pPr>
    <w:rPr>
      <w:kern w:val="0"/>
      <w:sz w:val="20"/>
    </w:rPr>
  </w:style>
  <w:style w:type="paragraph" w:styleId="5">
    <w:name w:val="Date"/>
    <w:basedOn w:val="1"/>
    <w:next w:val="1"/>
    <w:link w:val="22"/>
    <w:qFormat/>
    <w:uiPriority w:val="0"/>
    <w:pPr>
      <w:ind w:left="100" w:leftChars="2500"/>
    </w:pPr>
  </w:style>
  <w:style w:type="paragraph" w:styleId="6">
    <w:name w:val="Balloon Text"/>
    <w:basedOn w:val="1"/>
    <w:link w:val="23"/>
    <w:unhideWhenUsed/>
    <w:qFormat/>
    <w:uiPriority w:val="99"/>
    <w:rPr>
      <w:sz w:val="18"/>
      <w:szCs w:val="18"/>
    </w:rPr>
  </w:style>
  <w:style w:type="paragraph" w:styleId="7">
    <w:name w:val="footer"/>
    <w:basedOn w:val="1"/>
    <w:link w:val="24"/>
    <w:qFormat/>
    <w:uiPriority w:val="99"/>
    <w:pPr>
      <w:tabs>
        <w:tab w:val="center" w:pos="4153"/>
        <w:tab w:val="right" w:pos="8306"/>
      </w:tabs>
      <w:snapToGrid w:val="0"/>
      <w:jc w:val="left"/>
    </w:pPr>
    <w:rPr>
      <w:kern w:val="0"/>
      <w:sz w:val="18"/>
      <w:szCs w:val="18"/>
    </w:rPr>
  </w:style>
  <w:style w:type="paragraph" w:styleId="8">
    <w:name w:val="header"/>
    <w:basedOn w:val="1"/>
    <w:link w:val="2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9">
    <w:name w:val="toc 1"/>
    <w:basedOn w:val="1"/>
    <w:next w:val="1"/>
    <w:unhideWhenUsed/>
    <w:qFormat/>
    <w:locked/>
    <w:uiPriority w:val="39"/>
  </w:style>
  <w:style w:type="paragraph" w:styleId="10">
    <w:name w:val="toc 2"/>
    <w:basedOn w:val="1"/>
    <w:next w:val="1"/>
    <w:unhideWhenUsed/>
    <w:qFormat/>
    <w:locked/>
    <w:uiPriority w:val="39"/>
    <w:pPr>
      <w:tabs>
        <w:tab w:val="right" w:leader="dot" w:pos="8630"/>
      </w:tabs>
      <w:ind w:left="420" w:leftChars="200"/>
    </w:pPr>
    <w:rPr>
      <w:rFonts w:eastAsia="黑体"/>
      <w:sz w:val="18"/>
      <w:szCs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2">
    <w:name w:val="Title"/>
    <w:basedOn w:val="1"/>
    <w:qFormat/>
    <w:locked/>
    <w:uiPriority w:val="0"/>
    <w:pPr>
      <w:spacing w:before="240" w:after="60"/>
      <w:jc w:val="center"/>
      <w:outlineLvl w:val="0"/>
    </w:pPr>
    <w:rPr>
      <w:rFonts w:ascii="Arial" w:hAnsi="Arial"/>
      <w:b/>
      <w:sz w:val="44"/>
      <w:lang w:val="zh-CN"/>
    </w:rPr>
  </w:style>
  <w:style w:type="paragraph" w:styleId="13">
    <w:name w:val="annotation subject"/>
    <w:basedOn w:val="4"/>
    <w:next w:val="4"/>
    <w:link w:val="26"/>
    <w:unhideWhenUsed/>
    <w:qFormat/>
    <w:uiPriority w:val="99"/>
    <w:rPr>
      <w:b/>
      <w:bCs/>
      <w:kern w:val="2"/>
      <w:sz w:val="21"/>
    </w:rPr>
  </w:style>
  <w:style w:type="character" w:styleId="16">
    <w:name w:val="Emphasis"/>
    <w:qFormat/>
    <w:locked/>
    <w:uiPriority w:val="0"/>
    <w:rPr>
      <w:i/>
      <w:iCs/>
    </w:rPr>
  </w:style>
  <w:style w:type="character" w:styleId="17">
    <w:name w:val="Hyperlink"/>
    <w:qFormat/>
    <w:uiPriority w:val="99"/>
    <w:rPr>
      <w:color w:val="1A66B3"/>
      <w:u w:val="none"/>
    </w:rPr>
  </w:style>
  <w:style w:type="character" w:styleId="18">
    <w:name w:val="annotation reference"/>
    <w:unhideWhenUsed/>
    <w:qFormat/>
    <w:uiPriority w:val="99"/>
    <w:rPr>
      <w:sz w:val="21"/>
      <w:szCs w:val="21"/>
    </w:rPr>
  </w:style>
  <w:style w:type="character" w:customStyle="1" w:styleId="19">
    <w:name w:val="标题 1 字符"/>
    <w:link w:val="2"/>
    <w:qFormat/>
    <w:uiPriority w:val="0"/>
    <w:rPr>
      <w:b/>
      <w:bCs/>
      <w:kern w:val="44"/>
      <w:sz w:val="44"/>
      <w:szCs w:val="44"/>
    </w:rPr>
  </w:style>
  <w:style w:type="character" w:customStyle="1" w:styleId="20">
    <w:name w:val="标题 2 字符"/>
    <w:link w:val="3"/>
    <w:qFormat/>
    <w:uiPriority w:val="0"/>
    <w:rPr>
      <w:rFonts w:ascii="宋体" w:hAnsi="宋体" w:cs="宋体"/>
      <w:b/>
      <w:bCs/>
      <w:sz w:val="36"/>
      <w:szCs w:val="36"/>
    </w:rPr>
  </w:style>
  <w:style w:type="character" w:customStyle="1" w:styleId="21">
    <w:name w:val="批注文字 字符"/>
    <w:link w:val="4"/>
    <w:semiHidden/>
    <w:qFormat/>
    <w:uiPriority w:val="99"/>
    <w:rPr>
      <w:szCs w:val="21"/>
    </w:rPr>
  </w:style>
  <w:style w:type="character" w:customStyle="1" w:styleId="22">
    <w:name w:val="日期 字符"/>
    <w:link w:val="5"/>
    <w:qFormat/>
    <w:uiPriority w:val="0"/>
    <w:rPr>
      <w:kern w:val="2"/>
      <w:sz w:val="21"/>
      <w:szCs w:val="21"/>
    </w:rPr>
  </w:style>
  <w:style w:type="character" w:customStyle="1" w:styleId="23">
    <w:name w:val="批注框文本 字符"/>
    <w:link w:val="6"/>
    <w:semiHidden/>
    <w:qFormat/>
    <w:uiPriority w:val="99"/>
    <w:rPr>
      <w:kern w:val="2"/>
      <w:sz w:val="18"/>
      <w:szCs w:val="18"/>
    </w:rPr>
  </w:style>
  <w:style w:type="character" w:customStyle="1" w:styleId="24">
    <w:name w:val="页脚 字符"/>
    <w:link w:val="7"/>
    <w:qFormat/>
    <w:locked/>
    <w:uiPriority w:val="99"/>
    <w:rPr>
      <w:rFonts w:cs="Times New Roman"/>
      <w:sz w:val="18"/>
      <w:szCs w:val="18"/>
    </w:rPr>
  </w:style>
  <w:style w:type="character" w:customStyle="1" w:styleId="25">
    <w:name w:val="页眉 字符"/>
    <w:link w:val="8"/>
    <w:qFormat/>
    <w:locked/>
    <w:uiPriority w:val="99"/>
    <w:rPr>
      <w:rFonts w:cs="Times New Roman"/>
      <w:sz w:val="18"/>
      <w:szCs w:val="18"/>
    </w:rPr>
  </w:style>
  <w:style w:type="character" w:customStyle="1" w:styleId="26">
    <w:name w:val="批注主题 字符"/>
    <w:link w:val="13"/>
    <w:semiHidden/>
    <w:qFormat/>
    <w:uiPriority w:val="99"/>
    <w:rPr>
      <w:b/>
      <w:bCs/>
      <w:kern w:val="2"/>
      <w:sz w:val="21"/>
      <w:szCs w:val="21"/>
    </w:rPr>
  </w:style>
  <w:style w:type="character" w:customStyle="1" w:styleId="27">
    <w:name w:val="class4"/>
    <w:qFormat/>
    <w:uiPriority w:val="0"/>
  </w:style>
  <w:style w:type="character" w:customStyle="1" w:styleId="28">
    <w:name w:val="class3"/>
    <w:qFormat/>
    <w:uiPriority w:val="0"/>
  </w:style>
  <w:style w:type="character" w:customStyle="1" w:styleId="29">
    <w:name w:val="highlight"/>
    <w:qFormat/>
    <w:uiPriority w:val="0"/>
  </w:style>
  <w:style w:type="character" w:customStyle="1" w:styleId="30">
    <w:name w:val="标题1"/>
    <w:qFormat/>
    <w:uiPriority w:val="0"/>
  </w:style>
  <w:style w:type="character" w:customStyle="1" w:styleId="31">
    <w:name w:val="keyword"/>
    <w:qFormat/>
    <w:uiPriority w:val="0"/>
  </w:style>
  <w:style w:type="character" w:customStyle="1" w:styleId="32">
    <w:name w:val="class2"/>
    <w:qFormat/>
    <w:uiPriority w:val="0"/>
  </w:style>
  <w:style w:type="character" w:customStyle="1" w:styleId="33">
    <w:name w:val="class1"/>
    <w:qFormat/>
    <w:uiPriority w:val="0"/>
  </w:style>
  <w:style w:type="character" w:customStyle="1" w:styleId="34">
    <w:name w:val="class7"/>
    <w:qFormat/>
    <w:uiPriority w:val="0"/>
  </w:style>
  <w:style w:type="character" w:customStyle="1" w:styleId="35">
    <w:name w:val="high-light-bg4"/>
    <w:qFormat/>
    <w:uiPriority w:val="0"/>
  </w:style>
  <w:style w:type="character" w:customStyle="1" w:styleId="36">
    <w:name w:val="class8 text_bg"/>
    <w:qFormat/>
    <w:uiPriority w:val="0"/>
  </w:style>
  <w:style w:type="character" w:customStyle="1" w:styleId="37">
    <w:name w:val="apple-converted-space"/>
    <w:qFormat/>
    <w:uiPriority w:val="0"/>
  </w:style>
  <w:style w:type="paragraph" w:customStyle="1" w:styleId="38">
    <w:name w:val="Plain Text1"/>
    <w:basedOn w:val="1"/>
    <w:qFormat/>
    <w:uiPriority w:val="99"/>
    <w:rPr>
      <w:rFonts w:ascii="宋体" w:hAnsi="Courier New" w:cs="宋体"/>
    </w:rPr>
  </w:style>
  <w:style w:type="paragraph" w:customStyle="1" w:styleId="39">
    <w:name w:val="_Style 38"/>
    <w:semiHidden/>
    <w:qFormat/>
    <w:uiPriority w:val="99"/>
    <w:rPr>
      <w:rFonts w:ascii="Times New Roman" w:hAnsi="Times New Roman" w:eastAsia="宋体" w:cs="Times New Roman"/>
      <w:kern w:val="2"/>
      <w:sz w:val="21"/>
      <w:szCs w:val="21"/>
      <w:lang w:val="en-US" w:eastAsia="zh-CN" w:bidi="ar-SA"/>
    </w:rPr>
  </w:style>
  <w:style w:type="paragraph" w:customStyle="1" w:styleId="40">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lang w:val="zh-CN"/>
    </w:rPr>
  </w:style>
  <w:style w:type="paragraph" w:styleId="41">
    <w:name w:val="List Paragraph"/>
    <w:basedOn w:val="1"/>
    <w:qFormat/>
    <w:uiPriority w:val="34"/>
    <w:pPr>
      <w:ind w:firstLine="420" w:firstLineChars="200"/>
    </w:pPr>
    <w:rPr>
      <w:szCs w:val="20"/>
    </w:rPr>
  </w:style>
  <w:style w:type="paragraph" w:customStyle="1" w:styleId="42">
    <w:name w:val="_Style 4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43">
    <w:name w:val="修订1"/>
    <w:hidden/>
    <w:unhideWhenUsed/>
    <w:qFormat/>
    <w:uiPriority w:val="99"/>
    <w:rPr>
      <w:rFonts w:ascii="Times New Roman" w:hAnsi="Times New Roman" w:eastAsia="宋体" w:cs="Times New Roman"/>
      <w:kern w:val="2"/>
      <w:sz w:val="21"/>
      <w:szCs w:val="21"/>
      <w:lang w:val="en-US" w:eastAsia="zh-CN" w:bidi="ar-SA"/>
    </w:rPr>
  </w:style>
  <w:style w:type="character" w:customStyle="1" w:styleId="44">
    <w:name w:val="未处理的提及1"/>
    <w:basedOn w:val="1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46</Pages>
  <Words>11172</Words>
  <Characters>19156</Characters>
  <Lines>106</Lines>
  <Paragraphs>30</Paragraphs>
  <TotalTime>0</TotalTime>
  <ScaleCrop>false</ScaleCrop>
  <LinksUpToDate>false</LinksUpToDate>
  <CharactersWithSpaces>20920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2025-12-21T13:02:00Z</dcterms:created>
  <dc:creator>Administrator</dc:creator>
  <cp:lastModifiedBy>王喵喵</cp:lastModifiedBy>
  <cp:lastPrinted>2014-08-09T15:57:00Z</cp:lastPrinted>
  <dcterms:modified xsi:type="dcterms:W3CDTF">2026-09-21T02:59:26Z</dcterms:modified>
  <dc:title>1范围</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A86A1760DBB334B0EB701D68B2096216_43</vt:lpwstr>
  </property>
  <property fmtid="{D5CDD505-2E9C-101B-9397-08002B2CF9AE}" pid="4" name="KSOTemplateDocerSaveRecord">
    <vt:lpwstr>eyJoZGlkIjoiZTBkODljMjVjZWRmMjUyYzM1YmMxYjc1YjAzZjFlZjgiLCJ1c2VySWQiOiIzMzc3NzAyMzcifQ==</vt:lpwstr>
  </property>
</Properties>
</file>